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Mkatabulky"/>
        <w:tblW w:w="9639" w:type="dxa"/>
        <w:tblInd w:w="-5" w:type="dxa"/>
        <w:tblBorders>
          <w:left w:val="none" w:sz="0" w:space="0" w:color="auto"/>
          <w:bottom w:val="single" w:sz="18"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B13622" w:rsidRPr="008517B5" w14:paraId="5E899E5F" w14:textId="77777777" w:rsidTr="00E16134">
        <w:trPr>
          <w:trHeight w:val="370"/>
        </w:trPr>
        <w:tc>
          <w:tcPr>
            <w:tcW w:w="9639" w:type="dxa"/>
            <w:tcBorders>
              <w:top w:val="nil"/>
              <w:bottom w:val="single" w:sz="4" w:space="0" w:color="161A48"/>
            </w:tcBorders>
          </w:tcPr>
          <w:p w14:paraId="64063E1C" w14:textId="77777777" w:rsidR="00B13622" w:rsidRPr="008517B5" w:rsidRDefault="00B13622" w:rsidP="00E16134">
            <w:pPr>
              <w:pStyle w:val="Nadpisobsahu"/>
              <w:tabs>
                <w:tab w:val="left" w:pos="6300"/>
                <w:tab w:val="left" w:pos="8395"/>
              </w:tabs>
            </w:pPr>
            <w:r>
              <w:tab/>
            </w:r>
            <w:r>
              <w:tab/>
            </w:r>
          </w:p>
        </w:tc>
      </w:tr>
      <w:tr w:rsidR="00B13622" w14:paraId="3343A831" w14:textId="77777777" w:rsidTr="00E16134">
        <w:trPr>
          <w:trHeight w:val="370"/>
        </w:trPr>
        <w:tc>
          <w:tcPr>
            <w:tcW w:w="9639" w:type="dxa"/>
            <w:tcBorders>
              <w:top w:val="single" w:sz="4" w:space="0" w:color="161A48"/>
              <w:bottom w:val="single" w:sz="18" w:space="0" w:color="161A48"/>
            </w:tcBorders>
          </w:tcPr>
          <w:p w14:paraId="608D996C" w14:textId="77777777" w:rsidR="00B13622" w:rsidRDefault="00B13622" w:rsidP="00E16134">
            <w:pPr>
              <w:pStyle w:val="tvar"/>
              <w:spacing w:before="120" w:after="120"/>
              <w:ind w:left="-109"/>
            </w:pPr>
            <w:r>
              <w:t>Rada pro výzkum, vývoj a inovace</w:t>
            </w:r>
          </w:p>
        </w:tc>
      </w:tr>
    </w:tbl>
    <w:p w14:paraId="668D6B6F" w14:textId="77777777" w:rsidR="00B571C0" w:rsidRDefault="00B571C0" w:rsidP="00B571C0">
      <w:pPr>
        <w:spacing w:line="264" w:lineRule="auto"/>
        <w:jc w:val="center"/>
        <w:rPr>
          <w:rFonts w:ascii="Arial" w:hAnsi="Arial" w:cs="Arial"/>
          <w:b/>
          <w:color w:val="4F81BD" w:themeColor="accent1"/>
          <w:sz w:val="28"/>
          <w:szCs w:val="28"/>
        </w:rPr>
      </w:pPr>
    </w:p>
    <w:p w14:paraId="539F4AFB" w14:textId="58C1A442" w:rsidR="008F2446" w:rsidRDefault="00A97D47" w:rsidP="004A2958">
      <w:pPr>
        <w:spacing w:line="264" w:lineRule="auto"/>
        <w:jc w:val="center"/>
        <w:rPr>
          <w:rFonts w:ascii="Arial" w:hAnsi="Arial" w:cs="Arial"/>
          <w:sz w:val="22"/>
          <w:szCs w:val="22"/>
        </w:rPr>
      </w:pPr>
      <w:r>
        <w:rPr>
          <w:rFonts w:ascii="Arial" w:hAnsi="Arial" w:cs="Arial"/>
          <w:b/>
          <w:color w:val="4F81BD" w:themeColor="accent1"/>
          <w:sz w:val="28"/>
          <w:szCs w:val="28"/>
        </w:rPr>
        <w:t>Souhrnné závěrečné</w:t>
      </w:r>
      <w:r w:rsidR="004F6752">
        <w:rPr>
          <w:rFonts w:ascii="Arial" w:hAnsi="Arial" w:cs="Arial"/>
          <w:b/>
          <w:color w:val="4F81BD" w:themeColor="accent1"/>
          <w:sz w:val="28"/>
          <w:szCs w:val="28"/>
        </w:rPr>
        <w:t xml:space="preserve"> vyhodnocení Koncepce </w:t>
      </w:r>
      <w:r w:rsidRPr="00A97D47">
        <w:rPr>
          <w:rFonts w:ascii="Arial" w:hAnsi="Arial" w:cs="Arial"/>
          <w:b/>
          <w:color w:val="4F81BD" w:themeColor="accent1"/>
          <w:sz w:val="28"/>
          <w:szCs w:val="28"/>
        </w:rPr>
        <w:t xml:space="preserve">Informačního systému výzkumu, experimentálního vývoje a inovací </w:t>
      </w:r>
      <w:r>
        <w:rPr>
          <w:rFonts w:ascii="Arial" w:hAnsi="Arial" w:cs="Arial"/>
          <w:b/>
          <w:color w:val="4F81BD" w:themeColor="accent1"/>
          <w:sz w:val="28"/>
          <w:szCs w:val="28"/>
        </w:rPr>
        <w:t>za</w:t>
      </w:r>
      <w:r w:rsidRPr="00A97D47">
        <w:rPr>
          <w:rFonts w:ascii="Arial" w:hAnsi="Arial" w:cs="Arial"/>
          <w:b/>
          <w:color w:val="4F81BD" w:themeColor="accent1"/>
          <w:sz w:val="28"/>
          <w:szCs w:val="28"/>
        </w:rPr>
        <w:t xml:space="preserve"> období 2021-2025</w:t>
      </w:r>
    </w:p>
    <w:p w14:paraId="210C7187" w14:textId="77777777" w:rsidR="008F2446" w:rsidRDefault="008F2446" w:rsidP="008F2446">
      <w:pPr>
        <w:spacing w:line="264" w:lineRule="auto"/>
        <w:jc w:val="both"/>
        <w:rPr>
          <w:rFonts w:ascii="Arial" w:hAnsi="Arial" w:cs="Arial"/>
          <w:b/>
          <w:sz w:val="22"/>
          <w:szCs w:val="22"/>
        </w:rPr>
      </w:pPr>
    </w:p>
    <w:p w14:paraId="602A821A" w14:textId="77777777" w:rsidR="000C7664" w:rsidRDefault="000C7664" w:rsidP="000C7664">
      <w:pPr>
        <w:spacing w:line="264" w:lineRule="auto"/>
        <w:jc w:val="both"/>
        <w:rPr>
          <w:rFonts w:ascii="Arial" w:eastAsiaTheme="minorHAnsi" w:hAnsi="Arial" w:cs="Arial"/>
          <w:sz w:val="22"/>
          <w:szCs w:val="22"/>
          <w:lang w:eastAsia="en-US"/>
        </w:rPr>
      </w:pPr>
    </w:p>
    <w:p w14:paraId="51DD6EA9" w14:textId="77777777" w:rsidR="000C7664" w:rsidRPr="000626FA" w:rsidRDefault="000C7664" w:rsidP="000C7664">
      <w:pPr>
        <w:spacing w:line="264" w:lineRule="auto"/>
        <w:jc w:val="both"/>
        <w:rPr>
          <w:rFonts w:ascii="Arial" w:eastAsiaTheme="minorHAnsi" w:hAnsi="Arial" w:cs="Arial"/>
          <w:b/>
          <w:bCs/>
          <w:color w:val="4F81BD" w:themeColor="accent1"/>
          <w:lang w:eastAsia="en-US"/>
        </w:rPr>
      </w:pPr>
      <w:r w:rsidRPr="000626FA">
        <w:rPr>
          <w:rFonts w:ascii="Arial" w:eastAsiaTheme="minorHAnsi" w:hAnsi="Arial" w:cs="Arial"/>
          <w:b/>
          <w:bCs/>
          <w:color w:val="4F81BD" w:themeColor="accent1"/>
          <w:sz w:val="22"/>
          <w:szCs w:val="22"/>
          <w:lang w:eastAsia="en-US"/>
        </w:rPr>
        <w:t xml:space="preserve">1. </w:t>
      </w:r>
      <w:r w:rsidRPr="000626FA">
        <w:rPr>
          <w:rFonts w:ascii="Arial" w:eastAsiaTheme="minorHAnsi" w:hAnsi="Arial" w:cs="Arial"/>
          <w:b/>
          <w:bCs/>
          <w:color w:val="4F81BD" w:themeColor="accent1"/>
          <w:lang w:eastAsia="en-US"/>
        </w:rPr>
        <w:t>Úvod a metodický rámec vyhodnocení</w:t>
      </w:r>
    </w:p>
    <w:p w14:paraId="1C81F1F1" w14:textId="77777777" w:rsidR="000C7664" w:rsidRPr="000626FA" w:rsidRDefault="000C7664" w:rsidP="000C7664">
      <w:pPr>
        <w:spacing w:line="264" w:lineRule="auto"/>
        <w:jc w:val="both"/>
        <w:rPr>
          <w:rFonts w:ascii="Arial" w:eastAsiaTheme="minorHAnsi" w:hAnsi="Arial" w:cs="Arial"/>
          <w:lang w:eastAsia="en-US"/>
        </w:rPr>
      </w:pPr>
    </w:p>
    <w:p w14:paraId="3C1E9F5B" w14:textId="77777777" w:rsidR="00115D17" w:rsidRDefault="0011092D" w:rsidP="000C7664">
      <w:pPr>
        <w:spacing w:line="264" w:lineRule="auto"/>
        <w:jc w:val="both"/>
        <w:rPr>
          <w:rFonts w:ascii="Arial" w:eastAsiaTheme="minorHAnsi" w:hAnsi="Arial" w:cs="Arial"/>
          <w:sz w:val="22"/>
          <w:szCs w:val="22"/>
          <w:lang w:eastAsia="en-US"/>
        </w:rPr>
      </w:pPr>
      <w:r w:rsidRPr="00764582">
        <w:rPr>
          <w:rFonts w:ascii="Arial" w:eastAsiaTheme="minorHAnsi" w:hAnsi="Arial" w:cs="Arial"/>
          <w:b/>
          <w:bCs/>
          <w:sz w:val="22"/>
          <w:szCs w:val="22"/>
          <w:lang w:eastAsia="en-US"/>
        </w:rPr>
        <w:t>Koncepc</w:t>
      </w:r>
      <w:r w:rsidR="00C16189" w:rsidRPr="00764582">
        <w:rPr>
          <w:rFonts w:ascii="Arial" w:eastAsiaTheme="minorHAnsi" w:hAnsi="Arial" w:cs="Arial"/>
          <w:b/>
          <w:bCs/>
          <w:sz w:val="22"/>
          <w:szCs w:val="22"/>
          <w:lang w:eastAsia="en-US"/>
        </w:rPr>
        <w:t>i</w:t>
      </w:r>
      <w:r w:rsidRPr="00764582">
        <w:rPr>
          <w:rFonts w:ascii="Arial" w:eastAsiaTheme="minorHAnsi" w:hAnsi="Arial" w:cs="Arial"/>
          <w:b/>
          <w:bCs/>
          <w:sz w:val="22"/>
          <w:szCs w:val="22"/>
          <w:lang w:eastAsia="en-US"/>
        </w:rPr>
        <w:t xml:space="preserve"> Informačního systému výzkumu, experimentálního vývoje a inovací na</w:t>
      </w:r>
      <w:r w:rsidR="00261328">
        <w:rPr>
          <w:rFonts w:ascii="Arial" w:eastAsiaTheme="minorHAnsi" w:hAnsi="Arial" w:cs="Arial"/>
          <w:b/>
          <w:bCs/>
          <w:sz w:val="22"/>
          <w:szCs w:val="22"/>
          <w:lang w:eastAsia="en-US"/>
        </w:rPr>
        <w:t> </w:t>
      </w:r>
      <w:r w:rsidRPr="00764582">
        <w:rPr>
          <w:rFonts w:ascii="Arial" w:eastAsiaTheme="minorHAnsi" w:hAnsi="Arial" w:cs="Arial"/>
          <w:b/>
          <w:bCs/>
          <w:sz w:val="22"/>
          <w:szCs w:val="22"/>
          <w:lang w:eastAsia="en-US"/>
        </w:rPr>
        <w:t>období 2021-2025</w:t>
      </w:r>
      <w:r w:rsidRPr="0011092D">
        <w:rPr>
          <w:rFonts w:ascii="Arial" w:eastAsiaTheme="minorHAnsi" w:hAnsi="Arial" w:cs="Arial"/>
          <w:sz w:val="22"/>
          <w:szCs w:val="22"/>
          <w:lang w:eastAsia="en-US"/>
        </w:rPr>
        <w:t xml:space="preserve"> (dále jen „Koncepce</w:t>
      </w:r>
      <w:r w:rsidR="00391316">
        <w:rPr>
          <w:rFonts w:ascii="Arial" w:eastAsiaTheme="minorHAnsi" w:hAnsi="Arial" w:cs="Arial"/>
          <w:sz w:val="22"/>
          <w:szCs w:val="22"/>
          <w:lang w:eastAsia="en-US"/>
        </w:rPr>
        <w:t xml:space="preserve"> IS VaVaI</w:t>
      </w:r>
      <w:r w:rsidR="00C16189">
        <w:rPr>
          <w:rFonts w:ascii="Arial" w:eastAsiaTheme="minorHAnsi" w:hAnsi="Arial" w:cs="Arial"/>
          <w:sz w:val="22"/>
          <w:szCs w:val="22"/>
          <w:lang w:eastAsia="en-US"/>
        </w:rPr>
        <w:t xml:space="preserve"> 2021-2025</w:t>
      </w:r>
      <w:r w:rsidRPr="0011092D">
        <w:rPr>
          <w:rFonts w:ascii="Arial" w:eastAsiaTheme="minorHAnsi" w:hAnsi="Arial" w:cs="Arial"/>
          <w:sz w:val="22"/>
          <w:szCs w:val="22"/>
          <w:lang w:eastAsia="en-US"/>
        </w:rPr>
        <w:t xml:space="preserve">“) </w:t>
      </w:r>
      <w:r w:rsidR="00C16189">
        <w:rPr>
          <w:rFonts w:ascii="Arial" w:eastAsiaTheme="minorHAnsi" w:hAnsi="Arial" w:cs="Arial"/>
          <w:sz w:val="22"/>
          <w:szCs w:val="22"/>
          <w:lang w:eastAsia="en-US"/>
        </w:rPr>
        <w:t>schválila v</w:t>
      </w:r>
      <w:r w:rsidR="00C16189" w:rsidRPr="00C16189">
        <w:rPr>
          <w:rFonts w:ascii="Arial" w:eastAsiaTheme="minorHAnsi" w:hAnsi="Arial" w:cs="Arial"/>
          <w:sz w:val="22"/>
          <w:szCs w:val="22"/>
          <w:lang w:eastAsia="en-US"/>
        </w:rPr>
        <w:t xml:space="preserve">láda svým usnesením ze dne </w:t>
      </w:r>
      <w:r w:rsidR="00C16189">
        <w:rPr>
          <w:rFonts w:ascii="Arial" w:eastAsiaTheme="minorHAnsi" w:hAnsi="Arial" w:cs="Arial"/>
          <w:sz w:val="22"/>
          <w:szCs w:val="22"/>
          <w:lang w:eastAsia="en-US"/>
        </w:rPr>
        <w:t>20</w:t>
      </w:r>
      <w:r w:rsidR="00C16189" w:rsidRPr="00C16189">
        <w:rPr>
          <w:rFonts w:ascii="Arial" w:eastAsiaTheme="minorHAnsi" w:hAnsi="Arial" w:cs="Arial"/>
          <w:sz w:val="22"/>
          <w:szCs w:val="22"/>
          <w:lang w:eastAsia="en-US"/>
        </w:rPr>
        <w:t>.</w:t>
      </w:r>
      <w:r w:rsidR="00C16189">
        <w:rPr>
          <w:rFonts w:ascii="Arial" w:eastAsiaTheme="minorHAnsi" w:hAnsi="Arial" w:cs="Arial"/>
          <w:sz w:val="22"/>
          <w:szCs w:val="22"/>
          <w:lang w:eastAsia="en-US"/>
        </w:rPr>
        <w:t> července</w:t>
      </w:r>
      <w:r w:rsidR="00C16189" w:rsidRPr="00C16189">
        <w:rPr>
          <w:rFonts w:ascii="Arial" w:eastAsiaTheme="minorHAnsi" w:hAnsi="Arial" w:cs="Arial"/>
          <w:sz w:val="22"/>
          <w:szCs w:val="22"/>
          <w:lang w:eastAsia="en-US"/>
        </w:rPr>
        <w:t xml:space="preserve"> 20</w:t>
      </w:r>
      <w:r w:rsidR="00C16189">
        <w:rPr>
          <w:rFonts w:ascii="Arial" w:eastAsiaTheme="minorHAnsi" w:hAnsi="Arial" w:cs="Arial"/>
          <w:sz w:val="22"/>
          <w:szCs w:val="22"/>
          <w:lang w:eastAsia="en-US"/>
        </w:rPr>
        <w:t>20</w:t>
      </w:r>
      <w:r w:rsidR="00C16189" w:rsidRPr="00C16189">
        <w:rPr>
          <w:rFonts w:ascii="Arial" w:eastAsiaTheme="minorHAnsi" w:hAnsi="Arial" w:cs="Arial"/>
          <w:sz w:val="22"/>
          <w:szCs w:val="22"/>
          <w:lang w:eastAsia="en-US"/>
        </w:rPr>
        <w:t xml:space="preserve"> č. </w:t>
      </w:r>
      <w:r w:rsidR="00C16189">
        <w:rPr>
          <w:rFonts w:ascii="Arial" w:eastAsiaTheme="minorHAnsi" w:hAnsi="Arial" w:cs="Arial"/>
          <w:sz w:val="22"/>
          <w:szCs w:val="22"/>
          <w:lang w:eastAsia="en-US"/>
        </w:rPr>
        <w:t>760.</w:t>
      </w:r>
      <w:r w:rsidR="00C16189" w:rsidRPr="00C16189">
        <w:rPr>
          <w:rFonts w:ascii="Arial" w:eastAsiaTheme="minorHAnsi" w:hAnsi="Arial" w:cs="Arial"/>
          <w:sz w:val="22"/>
          <w:szCs w:val="22"/>
          <w:lang w:eastAsia="en-US"/>
        </w:rPr>
        <w:t xml:space="preserve"> </w:t>
      </w:r>
      <w:r w:rsidR="00C16189">
        <w:rPr>
          <w:rFonts w:ascii="Arial" w:eastAsiaTheme="minorHAnsi" w:hAnsi="Arial" w:cs="Arial"/>
          <w:sz w:val="22"/>
          <w:szCs w:val="22"/>
          <w:lang w:eastAsia="en-US"/>
        </w:rPr>
        <w:t xml:space="preserve">Koncepce </w:t>
      </w:r>
      <w:r w:rsidR="00391316">
        <w:rPr>
          <w:rFonts w:ascii="Arial" w:eastAsiaTheme="minorHAnsi" w:hAnsi="Arial" w:cs="Arial"/>
          <w:sz w:val="22"/>
          <w:szCs w:val="22"/>
          <w:lang w:eastAsia="en-US"/>
        </w:rPr>
        <w:t xml:space="preserve">IS VaVaI </w:t>
      </w:r>
      <w:r w:rsidR="00C16189">
        <w:rPr>
          <w:rFonts w:ascii="Arial" w:eastAsiaTheme="minorHAnsi" w:hAnsi="Arial" w:cs="Arial"/>
          <w:sz w:val="22"/>
          <w:szCs w:val="22"/>
          <w:lang w:eastAsia="en-US"/>
        </w:rPr>
        <w:t xml:space="preserve">2021-2025 představovala klíčový </w:t>
      </w:r>
      <w:r w:rsidRPr="0011092D">
        <w:rPr>
          <w:rFonts w:ascii="Arial" w:eastAsiaTheme="minorHAnsi" w:hAnsi="Arial" w:cs="Arial"/>
          <w:sz w:val="22"/>
          <w:szCs w:val="22"/>
          <w:lang w:eastAsia="en-US"/>
        </w:rPr>
        <w:t>střednědobý strategický dokument</w:t>
      </w:r>
      <w:r w:rsidR="00C16189">
        <w:rPr>
          <w:rFonts w:ascii="Arial" w:eastAsiaTheme="minorHAnsi" w:hAnsi="Arial" w:cs="Arial"/>
          <w:sz w:val="22"/>
          <w:szCs w:val="22"/>
          <w:lang w:eastAsia="en-US"/>
        </w:rPr>
        <w:t xml:space="preserve"> </w:t>
      </w:r>
      <w:r w:rsidR="00C16189" w:rsidRPr="000C7664">
        <w:rPr>
          <w:rFonts w:ascii="Arial" w:eastAsiaTheme="minorHAnsi" w:hAnsi="Arial" w:cs="Arial"/>
          <w:sz w:val="22"/>
          <w:szCs w:val="22"/>
          <w:lang w:eastAsia="en-US"/>
        </w:rPr>
        <w:t xml:space="preserve">zaměřený na systematickou modernizaci centrální datové základny </w:t>
      </w:r>
      <w:r w:rsidR="0075713A">
        <w:rPr>
          <w:rFonts w:ascii="Arial" w:eastAsiaTheme="minorHAnsi" w:hAnsi="Arial" w:cs="Arial"/>
          <w:sz w:val="22"/>
          <w:szCs w:val="22"/>
          <w:lang w:eastAsia="en-US"/>
        </w:rPr>
        <w:t>Informačního systému výzkumu, experimentálního vývoje a inovací (dále</w:t>
      </w:r>
      <w:r w:rsidR="00261328">
        <w:rPr>
          <w:rFonts w:ascii="Arial" w:eastAsiaTheme="minorHAnsi" w:hAnsi="Arial" w:cs="Arial"/>
          <w:sz w:val="22"/>
          <w:szCs w:val="22"/>
          <w:lang w:eastAsia="en-US"/>
        </w:rPr>
        <w:t> </w:t>
      </w:r>
      <w:r w:rsidR="0075713A">
        <w:rPr>
          <w:rFonts w:ascii="Arial" w:eastAsiaTheme="minorHAnsi" w:hAnsi="Arial" w:cs="Arial"/>
          <w:sz w:val="22"/>
          <w:szCs w:val="22"/>
          <w:lang w:eastAsia="en-US"/>
        </w:rPr>
        <w:t xml:space="preserve">jen „IS </w:t>
      </w:r>
      <w:r w:rsidR="00C16189" w:rsidRPr="000C7664">
        <w:rPr>
          <w:rFonts w:ascii="Arial" w:eastAsiaTheme="minorHAnsi" w:hAnsi="Arial" w:cs="Arial"/>
          <w:sz w:val="22"/>
          <w:szCs w:val="22"/>
          <w:lang w:eastAsia="en-US"/>
        </w:rPr>
        <w:t>VaVaI</w:t>
      </w:r>
      <w:r w:rsidR="0075713A">
        <w:rPr>
          <w:rFonts w:ascii="Arial" w:eastAsiaTheme="minorHAnsi" w:hAnsi="Arial" w:cs="Arial"/>
          <w:sz w:val="22"/>
          <w:szCs w:val="22"/>
          <w:lang w:eastAsia="en-US"/>
        </w:rPr>
        <w:t>“)</w:t>
      </w:r>
      <w:r w:rsidR="00C16189" w:rsidRPr="000C7664">
        <w:rPr>
          <w:rFonts w:ascii="Arial" w:eastAsiaTheme="minorHAnsi" w:hAnsi="Arial" w:cs="Arial"/>
          <w:sz w:val="22"/>
          <w:szCs w:val="22"/>
          <w:lang w:eastAsia="en-US"/>
        </w:rPr>
        <w:t>, zvýšení kvality, bezpečnosti a dostupnosti dat a posílení analytické a</w:t>
      </w:r>
      <w:r w:rsidR="00261328">
        <w:rPr>
          <w:rFonts w:ascii="Arial" w:eastAsiaTheme="minorHAnsi" w:hAnsi="Arial" w:cs="Arial"/>
          <w:sz w:val="22"/>
          <w:szCs w:val="22"/>
          <w:lang w:eastAsia="en-US"/>
        </w:rPr>
        <w:t> </w:t>
      </w:r>
      <w:r w:rsidR="00C16189" w:rsidRPr="000C7664">
        <w:rPr>
          <w:rFonts w:ascii="Arial" w:eastAsiaTheme="minorHAnsi" w:hAnsi="Arial" w:cs="Arial"/>
          <w:sz w:val="22"/>
          <w:szCs w:val="22"/>
          <w:lang w:eastAsia="en-US"/>
        </w:rPr>
        <w:t xml:space="preserve">rozhodovací podpory veřejné správy. Vyhodnocení </w:t>
      </w:r>
      <w:r w:rsidR="00391316">
        <w:rPr>
          <w:rFonts w:ascii="Arial" w:eastAsiaTheme="minorHAnsi" w:hAnsi="Arial" w:cs="Arial"/>
          <w:sz w:val="22"/>
          <w:szCs w:val="22"/>
          <w:lang w:eastAsia="en-US"/>
        </w:rPr>
        <w:t>dokumentu</w:t>
      </w:r>
      <w:r w:rsidR="00C16189" w:rsidRPr="000C7664">
        <w:rPr>
          <w:rFonts w:ascii="Arial" w:eastAsiaTheme="minorHAnsi" w:hAnsi="Arial" w:cs="Arial"/>
          <w:sz w:val="22"/>
          <w:szCs w:val="22"/>
          <w:lang w:eastAsia="en-US"/>
        </w:rPr>
        <w:t xml:space="preserve"> bylo provedeno na základě naplnění strategických oblastí, strategických cílů a konkrétních opatření, a to s využitím stanovených monitorovacích indikátorů.</w:t>
      </w:r>
      <w:r w:rsidR="00336A39">
        <w:rPr>
          <w:rFonts w:ascii="Arial" w:eastAsiaTheme="minorHAnsi" w:hAnsi="Arial" w:cs="Arial"/>
          <w:sz w:val="22"/>
          <w:szCs w:val="22"/>
          <w:lang w:eastAsia="en-US"/>
        </w:rPr>
        <w:t xml:space="preserve"> </w:t>
      </w:r>
    </w:p>
    <w:p w14:paraId="51C121E8" w14:textId="77777777" w:rsidR="00115D17" w:rsidRDefault="00115D17" w:rsidP="000C7664">
      <w:pPr>
        <w:spacing w:line="264" w:lineRule="auto"/>
        <w:jc w:val="both"/>
        <w:rPr>
          <w:rFonts w:ascii="Arial" w:eastAsiaTheme="minorHAnsi" w:hAnsi="Arial" w:cs="Arial"/>
          <w:sz w:val="22"/>
          <w:szCs w:val="22"/>
          <w:lang w:eastAsia="en-US"/>
        </w:rPr>
      </w:pPr>
    </w:p>
    <w:p w14:paraId="4E89CF3F" w14:textId="7DD439FA" w:rsidR="0011092D" w:rsidRDefault="00C16189" w:rsidP="000C7664">
      <w:pPr>
        <w:spacing w:line="264" w:lineRule="auto"/>
        <w:jc w:val="both"/>
        <w:rPr>
          <w:rFonts w:ascii="Arial" w:eastAsiaTheme="minorHAnsi" w:hAnsi="Arial" w:cs="Arial"/>
          <w:sz w:val="22"/>
          <w:szCs w:val="22"/>
          <w:lang w:eastAsia="en-US"/>
        </w:rPr>
      </w:pPr>
      <w:r w:rsidRPr="00C16189">
        <w:rPr>
          <w:rFonts w:ascii="Arial" w:eastAsiaTheme="minorHAnsi" w:hAnsi="Arial" w:cs="Arial"/>
          <w:sz w:val="22"/>
          <w:szCs w:val="22"/>
          <w:lang w:eastAsia="en-US"/>
        </w:rPr>
        <w:t>Koncepce</w:t>
      </w:r>
      <w:r>
        <w:rPr>
          <w:rFonts w:ascii="Arial" w:eastAsiaTheme="minorHAnsi" w:hAnsi="Arial" w:cs="Arial"/>
          <w:sz w:val="22"/>
          <w:szCs w:val="22"/>
          <w:lang w:eastAsia="en-US"/>
        </w:rPr>
        <w:t xml:space="preserve"> </w:t>
      </w:r>
      <w:r w:rsidR="00391316">
        <w:rPr>
          <w:rFonts w:ascii="Arial" w:eastAsiaTheme="minorHAnsi" w:hAnsi="Arial" w:cs="Arial"/>
          <w:sz w:val="22"/>
          <w:szCs w:val="22"/>
          <w:lang w:eastAsia="en-US"/>
        </w:rPr>
        <w:t xml:space="preserve">IS VaVaI </w:t>
      </w:r>
      <w:r w:rsidRPr="00C16189">
        <w:rPr>
          <w:rFonts w:ascii="Arial" w:eastAsiaTheme="minorHAnsi" w:hAnsi="Arial" w:cs="Arial"/>
          <w:sz w:val="22"/>
          <w:szCs w:val="22"/>
          <w:lang w:eastAsia="en-US"/>
        </w:rPr>
        <w:t>2021-2025</w:t>
      </w:r>
      <w:r>
        <w:rPr>
          <w:rFonts w:ascii="Arial" w:eastAsiaTheme="minorHAnsi" w:hAnsi="Arial" w:cs="Arial"/>
          <w:sz w:val="22"/>
          <w:szCs w:val="22"/>
          <w:lang w:eastAsia="en-US"/>
        </w:rPr>
        <w:t xml:space="preserve"> byla</w:t>
      </w:r>
      <w:r w:rsidRPr="00C16189">
        <w:rPr>
          <w:rFonts w:ascii="Arial" w:eastAsiaTheme="minorHAnsi" w:hAnsi="Arial" w:cs="Arial"/>
          <w:sz w:val="22"/>
          <w:szCs w:val="22"/>
          <w:lang w:eastAsia="en-US"/>
        </w:rPr>
        <w:t xml:space="preserve"> zpracován</w:t>
      </w:r>
      <w:r>
        <w:rPr>
          <w:rFonts w:ascii="Arial" w:eastAsiaTheme="minorHAnsi" w:hAnsi="Arial" w:cs="Arial"/>
          <w:sz w:val="22"/>
          <w:szCs w:val="22"/>
          <w:lang w:eastAsia="en-US"/>
        </w:rPr>
        <w:t>a</w:t>
      </w:r>
      <w:r w:rsidRPr="00C16189">
        <w:rPr>
          <w:rFonts w:ascii="Arial" w:eastAsiaTheme="minorHAnsi" w:hAnsi="Arial" w:cs="Arial"/>
          <w:sz w:val="22"/>
          <w:szCs w:val="22"/>
          <w:lang w:eastAsia="en-US"/>
        </w:rPr>
        <w:t xml:space="preserve"> v</w:t>
      </w:r>
      <w:r w:rsidR="00261328">
        <w:rPr>
          <w:rFonts w:ascii="Arial" w:eastAsiaTheme="minorHAnsi" w:hAnsi="Arial" w:cs="Arial"/>
          <w:sz w:val="22"/>
          <w:szCs w:val="22"/>
          <w:lang w:eastAsia="en-US"/>
        </w:rPr>
        <w:t> </w:t>
      </w:r>
      <w:r w:rsidRPr="00C16189">
        <w:rPr>
          <w:rFonts w:ascii="Arial" w:eastAsiaTheme="minorHAnsi" w:hAnsi="Arial" w:cs="Arial"/>
          <w:sz w:val="22"/>
          <w:szCs w:val="22"/>
          <w:lang w:eastAsia="en-US"/>
        </w:rPr>
        <w:t>souladu s</w:t>
      </w:r>
      <w:r w:rsidR="00391316">
        <w:rPr>
          <w:rFonts w:ascii="Arial" w:eastAsiaTheme="minorHAnsi" w:hAnsi="Arial" w:cs="Arial"/>
          <w:sz w:val="22"/>
          <w:szCs w:val="22"/>
          <w:lang w:eastAsia="en-US"/>
        </w:rPr>
        <w:t> </w:t>
      </w:r>
      <w:r w:rsidRPr="00C16189">
        <w:rPr>
          <w:rFonts w:ascii="Arial" w:eastAsiaTheme="minorHAnsi" w:hAnsi="Arial" w:cs="Arial"/>
          <w:sz w:val="22"/>
          <w:szCs w:val="22"/>
          <w:lang w:eastAsia="en-US"/>
        </w:rPr>
        <w:t xml:space="preserve">doporučeními Metodiky přípravy veřejných strategií a </w:t>
      </w:r>
      <w:r>
        <w:rPr>
          <w:rFonts w:ascii="Arial" w:eastAsiaTheme="minorHAnsi" w:hAnsi="Arial" w:cs="Arial"/>
          <w:sz w:val="22"/>
          <w:szCs w:val="22"/>
          <w:lang w:eastAsia="en-US"/>
        </w:rPr>
        <w:t>naplňovala</w:t>
      </w:r>
      <w:r w:rsidRPr="00C16189">
        <w:rPr>
          <w:rFonts w:ascii="Arial" w:eastAsiaTheme="minorHAnsi" w:hAnsi="Arial" w:cs="Arial"/>
          <w:sz w:val="22"/>
          <w:szCs w:val="22"/>
          <w:lang w:eastAsia="en-US"/>
        </w:rPr>
        <w:t xml:space="preserve"> charakteristické znaky koncepce, tj. </w:t>
      </w:r>
      <w:r>
        <w:rPr>
          <w:rFonts w:ascii="Arial" w:eastAsiaTheme="minorHAnsi" w:hAnsi="Arial" w:cs="Arial"/>
          <w:sz w:val="22"/>
          <w:szCs w:val="22"/>
          <w:lang w:eastAsia="en-US"/>
        </w:rPr>
        <w:t>řešila</w:t>
      </w:r>
      <w:r w:rsidRPr="00C16189">
        <w:rPr>
          <w:rFonts w:ascii="Arial" w:eastAsiaTheme="minorHAnsi" w:hAnsi="Arial" w:cs="Arial"/>
          <w:sz w:val="22"/>
          <w:szCs w:val="22"/>
          <w:lang w:eastAsia="en-US"/>
        </w:rPr>
        <w:t xml:space="preserve"> konkrétní problematiku, </w:t>
      </w:r>
      <w:r>
        <w:rPr>
          <w:rFonts w:ascii="Arial" w:eastAsiaTheme="minorHAnsi" w:hAnsi="Arial" w:cs="Arial"/>
          <w:sz w:val="22"/>
          <w:szCs w:val="22"/>
          <w:lang w:eastAsia="en-US"/>
        </w:rPr>
        <w:t>kladla</w:t>
      </w:r>
      <w:r w:rsidRPr="00C16189">
        <w:rPr>
          <w:rFonts w:ascii="Arial" w:eastAsiaTheme="minorHAnsi" w:hAnsi="Arial" w:cs="Arial"/>
          <w:sz w:val="22"/>
          <w:szCs w:val="22"/>
          <w:lang w:eastAsia="en-US"/>
        </w:rPr>
        <w:t xml:space="preserve"> důraz na část analytickou a</w:t>
      </w:r>
      <w:r w:rsidR="00261328">
        <w:rPr>
          <w:rFonts w:ascii="Arial" w:eastAsiaTheme="minorHAnsi" w:hAnsi="Arial" w:cs="Arial"/>
          <w:sz w:val="22"/>
          <w:szCs w:val="22"/>
          <w:lang w:eastAsia="en-US"/>
        </w:rPr>
        <w:t> </w:t>
      </w:r>
      <w:r w:rsidRPr="00C16189">
        <w:rPr>
          <w:rFonts w:ascii="Arial" w:eastAsiaTheme="minorHAnsi" w:hAnsi="Arial" w:cs="Arial"/>
          <w:sz w:val="22"/>
          <w:szCs w:val="22"/>
          <w:lang w:eastAsia="en-US"/>
        </w:rPr>
        <w:t>strategickou, zatímco</w:t>
      </w:r>
      <w:r w:rsidR="00336A39">
        <w:rPr>
          <w:rFonts w:ascii="Arial" w:eastAsiaTheme="minorHAnsi" w:hAnsi="Arial" w:cs="Arial"/>
          <w:sz w:val="22"/>
          <w:szCs w:val="22"/>
          <w:lang w:eastAsia="en-US"/>
        </w:rPr>
        <w:t> </w:t>
      </w:r>
      <w:r w:rsidRPr="00C16189">
        <w:rPr>
          <w:rFonts w:ascii="Arial" w:eastAsiaTheme="minorHAnsi" w:hAnsi="Arial" w:cs="Arial"/>
          <w:sz w:val="22"/>
          <w:szCs w:val="22"/>
          <w:lang w:eastAsia="en-US"/>
        </w:rPr>
        <w:t xml:space="preserve">implementační část </w:t>
      </w:r>
      <w:r>
        <w:rPr>
          <w:rFonts w:ascii="Arial" w:eastAsiaTheme="minorHAnsi" w:hAnsi="Arial" w:cs="Arial"/>
          <w:sz w:val="22"/>
          <w:szCs w:val="22"/>
          <w:lang w:eastAsia="en-US"/>
        </w:rPr>
        <w:t>byla</w:t>
      </w:r>
      <w:r w:rsidRPr="00C16189">
        <w:rPr>
          <w:rFonts w:ascii="Arial" w:eastAsiaTheme="minorHAnsi" w:hAnsi="Arial" w:cs="Arial"/>
          <w:sz w:val="22"/>
          <w:szCs w:val="22"/>
          <w:lang w:eastAsia="en-US"/>
        </w:rPr>
        <w:t xml:space="preserve"> řešena pouze rámcově.</w:t>
      </w:r>
    </w:p>
    <w:p w14:paraId="195584FB" w14:textId="77777777" w:rsidR="0011092D" w:rsidRDefault="0011092D" w:rsidP="000C7664">
      <w:pPr>
        <w:spacing w:line="264" w:lineRule="auto"/>
        <w:jc w:val="both"/>
        <w:rPr>
          <w:rFonts w:ascii="Arial" w:eastAsiaTheme="minorHAnsi" w:hAnsi="Arial" w:cs="Arial"/>
          <w:sz w:val="22"/>
          <w:szCs w:val="22"/>
          <w:lang w:eastAsia="en-US"/>
        </w:rPr>
      </w:pPr>
    </w:p>
    <w:p w14:paraId="72CF66F2" w14:textId="3DA50B84" w:rsidR="00503D76" w:rsidRDefault="00272E63" w:rsidP="000C7664">
      <w:pPr>
        <w:spacing w:line="264" w:lineRule="auto"/>
        <w:jc w:val="both"/>
        <w:rPr>
          <w:rFonts w:ascii="Arial" w:eastAsiaTheme="minorHAnsi" w:hAnsi="Arial" w:cs="Arial"/>
          <w:sz w:val="22"/>
          <w:szCs w:val="22"/>
          <w:lang w:eastAsia="en-US"/>
        </w:rPr>
      </w:pPr>
      <w:r>
        <w:rPr>
          <w:rFonts w:ascii="Arial" w:eastAsiaTheme="minorHAnsi" w:hAnsi="Arial" w:cs="Arial"/>
          <w:sz w:val="22"/>
          <w:szCs w:val="22"/>
          <w:lang w:eastAsia="en-US"/>
        </w:rPr>
        <w:t>Závěrečné h</w:t>
      </w:r>
      <w:r w:rsidR="000C7664" w:rsidRPr="000C7664">
        <w:rPr>
          <w:rFonts w:ascii="Arial" w:eastAsiaTheme="minorHAnsi" w:hAnsi="Arial" w:cs="Arial"/>
          <w:sz w:val="22"/>
          <w:szCs w:val="22"/>
          <w:lang w:eastAsia="en-US"/>
        </w:rPr>
        <w:t xml:space="preserve">odnocení </w:t>
      </w:r>
      <w:r w:rsidR="00391316">
        <w:rPr>
          <w:rFonts w:ascii="Arial" w:eastAsiaTheme="minorHAnsi" w:hAnsi="Arial" w:cs="Arial"/>
          <w:sz w:val="22"/>
          <w:szCs w:val="22"/>
          <w:lang w:eastAsia="en-US"/>
        </w:rPr>
        <w:t xml:space="preserve">Koncepce </w:t>
      </w:r>
      <w:r w:rsidR="00B86FBA">
        <w:rPr>
          <w:rFonts w:ascii="Arial" w:eastAsiaTheme="minorHAnsi" w:hAnsi="Arial" w:cs="Arial"/>
          <w:sz w:val="22"/>
          <w:szCs w:val="22"/>
          <w:lang w:eastAsia="en-US"/>
        </w:rPr>
        <w:t xml:space="preserve">IS VaVaI </w:t>
      </w:r>
      <w:r w:rsidR="00391316">
        <w:rPr>
          <w:rFonts w:ascii="Arial" w:eastAsiaTheme="minorHAnsi" w:hAnsi="Arial" w:cs="Arial"/>
          <w:sz w:val="22"/>
          <w:szCs w:val="22"/>
          <w:lang w:eastAsia="en-US"/>
        </w:rPr>
        <w:t xml:space="preserve">2021-2025 </w:t>
      </w:r>
      <w:r w:rsidR="000C7664" w:rsidRPr="000C7664">
        <w:rPr>
          <w:rFonts w:ascii="Arial" w:eastAsiaTheme="minorHAnsi" w:hAnsi="Arial" w:cs="Arial"/>
          <w:sz w:val="22"/>
          <w:szCs w:val="22"/>
          <w:lang w:eastAsia="en-US"/>
        </w:rPr>
        <w:t>se opírá o principy Metodiky tvorby veřejných strategií, zejména o:</w:t>
      </w:r>
    </w:p>
    <w:p w14:paraId="392C53B8" w14:textId="77777777" w:rsidR="00503D76" w:rsidRPr="000C7664" w:rsidRDefault="00503D76" w:rsidP="000C7664">
      <w:pPr>
        <w:spacing w:line="264" w:lineRule="auto"/>
        <w:jc w:val="both"/>
        <w:rPr>
          <w:rFonts w:ascii="Arial" w:eastAsiaTheme="minorHAnsi" w:hAnsi="Arial" w:cs="Arial"/>
          <w:sz w:val="22"/>
          <w:szCs w:val="22"/>
          <w:lang w:eastAsia="en-US"/>
        </w:rPr>
      </w:pPr>
    </w:p>
    <w:p w14:paraId="53E189F4" w14:textId="77777777" w:rsidR="000C7664" w:rsidRPr="000C7664" w:rsidRDefault="000C7664" w:rsidP="000C7664">
      <w:pPr>
        <w:spacing w:line="264" w:lineRule="auto"/>
        <w:jc w:val="both"/>
        <w:rPr>
          <w:rFonts w:ascii="Arial" w:eastAsiaTheme="minorHAnsi" w:hAnsi="Arial" w:cs="Arial"/>
          <w:sz w:val="22"/>
          <w:szCs w:val="22"/>
          <w:lang w:eastAsia="en-US"/>
        </w:rPr>
      </w:pPr>
      <w:r w:rsidRPr="000C7664">
        <w:rPr>
          <w:rFonts w:ascii="Arial" w:eastAsiaTheme="minorHAnsi" w:hAnsi="Arial" w:cs="Arial"/>
          <w:sz w:val="22"/>
          <w:szCs w:val="22"/>
          <w:lang w:eastAsia="en-US"/>
        </w:rPr>
        <w:t>•</w:t>
      </w:r>
      <w:r w:rsidRPr="000C7664">
        <w:rPr>
          <w:rFonts w:ascii="Arial" w:eastAsiaTheme="minorHAnsi" w:hAnsi="Arial" w:cs="Arial"/>
          <w:sz w:val="22"/>
          <w:szCs w:val="22"/>
          <w:lang w:eastAsia="en-US"/>
        </w:rPr>
        <w:tab/>
        <w:t>posouzení relevance a účelnosti realizovaných opatření,</w:t>
      </w:r>
    </w:p>
    <w:p w14:paraId="0E76352D" w14:textId="77777777" w:rsidR="000C7664" w:rsidRPr="000C7664" w:rsidRDefault="000C7664" w:rsidP="000C7664">
      <w:pPr>
        <w:spacing w:line="264" w:lineRule="auto"/>
        <w:jc w:val="both"/>
        <w:rPr>
          <w:rFonts w:ascii="Arial" w:eastAsiaTheme="minorHAnsi" w:hAnsi="Arial" w:cs="Arial"/>
          <w:sz w:val="22"/>
          <w:szCs w:val="22"/>
          <w:lang w:eastAsia="en-US"/>
        </w:rPr>
      </w:pPr>
      <w:r w:rsidRPr="000C7664">
        <w:rPr>
          <w:rFonts w:ascii="Arial" w:eastAsiaTheme="minorHAnsi" w:hAnsi="Arial" w:cs="Arial"/>
          <w:sz w:val="22"/>
          <w:szCs w:val="22"/>
          <w:lang w:eastAsia="en-US"/>
        </w:rPr>
        <w:t>•</w:t>
      </w:r>
      <w:r w:rsidRPr="000C7664">
        <w:rPr>
          <w:rFonts w:ascii="Arial" w:eastAsiaTheme="minorHAnsi" w:hAnsi="Arial" w:cs="Arial"/>
          <w:sz w:val="22"/>
          <w:szCs w:val="22"/>
          <w:lang w:eastAsia="en-US"/>
        </w:rPr>
        <w:tab/>
        <w:t>hodnocení efektivity a přiměřenosti zvolených řešení,</w:t>
      </w:r>
    </w:p>
    <w:p w14:paraId="67E2C986" w14:textId="77777777" w:rsidR="000C7664" w:rsidRPr="000C7664" w:rsidRDefault="000C7664" w:rsidP="000C7664">
      <w:pPr>
        <w:spacing w:line="264" w:lineRule="auto"/>
        <w:jc w:val="both"/>
        <w:rPr>
          <w:rFonts w:ascii="Arial" w:eastAsiaTheme="minorHAnsi" w:hAnsi="Arial" w:cs="Arial"/>
          <w:sz w:val="22"/>
          <w:szCs w:val="22"/>
          <w:lang w:eastAsia="en-US"/>
        </w:rPr>
      </w:pPr>
      <w:r w:rsidRPr="000C7664">
        <w:rPr>
          <w:rFonts w:ascii="Arial" w:eastAsiaTheme="minorHAnsi" w:hAnsi="Arial" w:cs="Arial"/>
          <w:sz w:val="22"/>
          <w:szCs w:val="22"/>
          <w:lang w:eastAsia="en-US"/>
        </w:rPr>
        <w:t>•</w:t>
      </w:r>
      <w:r w:rsidRPr="000C7664">
        <w:rPr>
          <w:rFonts w:ascii="Arial" w:eastAsiaTheme="minorHAnsi" w:hAnsi="Arial" w:cs="Arial"/>
          <w:sz w:val="22"/>
          <w:szCs w:val="22"/>
          <w:lang w:eastAsia="en-US"/>
        </w:rPr>
        <w:tab/>
        <w:t>zdůvodnění případných odchylek na základě objektivních okolností,</w:t>
      </w:r>
    </w:p>
    <w:p w14:paraId="025A1324" w14:textId="77777777" w:rsidR="000C7664" w:rsidRDefault="000C7664" w:rsidP="000C7664">
      <w:pPr>
        <w:spacing w:line="264" w:lineRule="auto"/>
        <w:jc w:val="both"/>
        <w:rPr>
          <w:rFonts w:ascii="Arial" w:eastAsiaTheme="minorHAnsi" w:hAnsi="Arial" w:cs="Arial"/>
          <w:sz w:val="22"/>
          <w:szCs w:val="22"/>
          <w:lang w:eastAsia="en-US"/>
        </w:rPr>
      </w:pPr>
      <w:r w:rsidRPr="000C7664">
        <w:rPr>
          <w:rFonts w:ascii="Arial" w:eastAsiaTheme="minorHAnsi" w:hAnsi="Arial" w:cs="Arial"/>
          <w:sz w:val="22"/>
          <w:szCs w:val="22"/>
          <w:lang w:eastAsia="en-US"/>
        </w:rPr>
        <w:t>•</w:t>
      </w:r>
      <w:r w:rsidRPr="000C7664">
        <w:rPr>
          <w:rFonts w:ascii="Arial" w:eastAsiaTheme="minorHAnsi" w:hAnsi="Arial" w:cs="Arial"/>
          <w:sz w:val="22"/>
          <w:szCs w:val="22"/>
          <w:lang w:eastAsia="en-US"/>
        </w:rPr>
        <w:tab/>
        <w:t>zohlednění širšího institucionálního a legislativního kontextu.</w:t>
      </w:r>
    </w:p>
    <w:p w14:paraId="1391FB1C" w14:textId="77777777" w:rsidR="00417A88" w:rsidRDefault="00417A88" w:rsidP="000C7664">
      <w:pPr>
        <w:spacing w:line="264" w:lineRule="auto"/>
        <w:jc w:val="both"/>
        <w:rPr>
          <w:rFonts w:ascii="Arial" w:eastAsiaTheme="minorHAnsi" w:hAnsi="Arial" w:cs="Arial"/>
          <w:sz w:val="22"/>
          <w:szCs w:val="22"/>
          <w:lang w:eastAsia="en-US"/>
        </w:rPr>
      </w:pPr>
    </w:p>
    <w:p w14:paraId="5B44EC61" w14:textId="31A52F91" w:rsidR="00417A88" w:rsidRPr="00417A88" w:rsidRDefault="00417A88" w:rsidP="00417A88">
      <w:pPr>
        <w:spacing w:line="264" w:lineRule="auto"/>
        <w:jc w:val="both"/>
        <w:rPr>
          <w:rFonts w:ascii="Arial" w:eastAsiaTheme="minorHAnsi" w:hAnsi="Arial" w:cs="Arial"/>
          <w:sz w:val="22"/>
          <w:szCs w:val="22"/>
          <w:lang w:eastAsia="en-US"/>
        </w:rPr>
      </w:pPr>
      <w:r w:rsidRPr="00417A88">
        <w:rPr>
          <w:rFonts w:ascii="Arial" w:eastAsiaTheme="minorHAnsi" w:hAnsi="Arial" w:cs="Arial"/>
          <w:sz w:val="22"/>
          <w:szCs w:val="22"/>
          <w:lang w:eastAsia="en-US"/>
        </w:rPr>
        <w:t>Posouzení relevance a účelnosti realizovaných opatření ukazuje, že zvolená řešení odpovídala aktuálním potřebám státní správy a reflektovala mezinárodní standardy v oblasti otevřených dat a kybernetické bezpečnosti. Hodnocení efektivity a přiměřenosti zvolených řešení potvrzuje, že investované prostředky byly využity optimálně – prioritně na opatření s</w:t>
      </w:r>
      <w:r>
        <w:rPr>
          <w:rFonts w:ascii="Arial" w:eastAsiaTheme="minorHAnsi" w:hAnsi="Arial" w:cs="Arial"/>
          <w:sz w:val="22"/>
          <w:szCs w:val="22"/>
          <w:lang w:eastAsia="en-US"/>
        </w:rPr>
        <w:t> </w:t>
      </w:r>
      <w:r w:rsidRPr="00417A88">
        <w:rPr>
          <w:rFonts w:ascii="Arial" w:eastAsiaTheme="minorHAnsi" w:hAnsi="Arial" w:cs="Arial"/>
          <w:sz w:val="22"/>
          <w:szCs w:val="22"/>
          <w:lang w:eastAsia="en-US"/>
        </w:rPr>
        <w:t>nejvyšší přidanou hodnotou pro provozní stabilitu a legislativní připravenost systému. Zdůvodnění případných odchylek vychází z objektivních okolností, zejména z kapacitních omezení a změn legislativního rámce (nový zákon č. 328/2025 Sb.</w:t>
      </w:r>
      <w:r w:rsidR="00272E63">
        <w:rPr>
          <w:rFonts w:ascii="Arial" w:eastAsiaTheme="minorHAnsi" w:hAnsi="Arial" w:cs="Arial"/>
          <w:sz w:val="22"/>
          <w:szCs w:val="22"/>
          <w:lang w:eastAsia="en-US"/>
        </w:rPr>
        <w:t xml:space="preserve">, </w:t>
      </w:r>
      <w:r w:rsidR="00272E63" w:rsidRPr="00272E63">
        <w:rPr>
          <w:rFonts w:ascii="Arial" w:eastAsiaTheme="minorHAnsi" w:hAnsi="Arial" w:cs="Arial"/>
          <w:sz w:val="22"/>
          <w:szCs w:val="22"/>
          <w:lang w:eastAsia="en-US"/>
        </w:rPr>
        <w:t>o výzkumu, vývoji, inovacích a transferu znalostí</w:t>
      </w:r>
      <w:r w:rsidRPr="00417A88">
        <w:rPr>
          <w:rFonts w:ascii="Arial" w:eastAsiaTheme="minorHAnsi" w:hAnsi="Arial" w:cs="Arial"/>
          <w:sz w:val="22"/>
          <w:szCs w:val="22"/>
          <w:lang w:eastAsia="en-US"/>
        </w:rPr>
        <w:t>), které vyžadovaly přepracování původních návrhů. Zohlednění širšího institucionálního a legislativního kontextu bylo klíčové pro koordinaci s</w:t>
      </w:r>
      <w:r w:rsidR="00272E63">
        <w:rPr>
          <w:rFonts w:ascii="Arial" w:eastAsiaTheme="minorHAnsi" w:hAnsi="Arial" w:cs="Arial"/>
          <w:sz w:val="22"/>
          <w:szCs w:val="22"/>
          <w:lang w:eastAsia="en-US"/>
        </w:rPr>
        <w:t> </w:t>
      </w:r>
      <w:r w:rsidRPr="00417A88">
        <w:rPr>
          <w:rFonts w:ascii="Arial" w:eastAsiaTheme="minorHAnsi" w:hAnsi="Arial" w:cs="Arial"/>
          <w:sz w:val="22"/>
          <w:szCs w:val="22"/>
          <w:lang w:eastAsia="en-US"/>
        </w:rPr>
        <w:t>Digitální informační agenturou (DIA), Ministerstvem financí a dalšími správci agend, což</w:t>
      </w:r>
      <w:r w:rsidR="00272E63">
        <w:rPr>
          <w:rFonts w:ascii="Arial" w:eastAsiaTheme="minorHAnsi" w:hAnsi="Arial" w:cs="Arial"/>
          <w:sz w:val="22"/>
          <w:szCs w:val="22"/>
          <w:lang w:eastAsia="en-US"/>
        </w:rPr>
        <w:t> </w:t>
      </w:r>
      <w:r w:rsidRPr="00417A88">
        <w:rPr>
          <w:rFonts w:ascii="Arial" w:eastAsiaTheme="minorHAnsi" w:hAnsi="Arial" w:cs="Arial"/>
          <w:sz w:val="22"/>
          <w:szCs w:val="22"/>
          <w:lang w:eastAsia="en-US"/>
        </w:rPr>
        <w:t>zajistilo kompatibilitu s centrálními systémy veřejné správy.</w:t>
      </w:r>
    </w:p>
    <w:p w14:paraId="49A4DBAA" w14:textId="77777777" w:rsidR="000C7664" w:rsidRDefault="000C7664" w:rsidP="000C7664">
      <w:pPr>
        <w:spacing w:line="264" w:lineRule="auto"/>
        <w:jc w:val="both"/>
        <w:rPr>
          <w:rFonts w:ascii="Arial" w:eastAsiaTheme="minorHAnsi" w:hAnsi="Arial" w:cs="Arial"/>
          <w:sz w:val="22"/>
          <w:szCs w:val="22"/>
          <w:lang w:eastAsia="en-US"/>
        </w:rPr>
      </w:pPr>
    </w:p>
    <w:p w14:paraId="7358B458" w14:textId="77777777" w:rsidR="00115D17" w:rsidRDefault="00115D17" w:rsidP="000C7664">
      <w:pPr>
        <w:spacing w:line="264" w:lineRule="auto"/>
        <w:jc w:val="both"/>
        <w:rPr>
          <w:rFonts w:ascii="Arial" w:eastAsiaTheme="minorHAnsi" w:hAnsi="Arial" w:cs="Arial"/>
          <w:sz w:val="22"/>
          <w:szCs w:val="22"/>
          <w:lang w:eastAsia="en-US"/>
        </w:rPr>
      </w:pPr>
    </w:p>
    <w:p w14:paraId="2CB3D69A" w14:textId="77777777" w:rsidR="00115D17" w:rsidRDefault="00115D17" w:rsidP="000C7664">
      <w:pPr>
        <w:spacing w:line="264" w:lineRule="auto"/>
        <w:jc w:val="both"/>
        <w:rPr>
          <w:rFonts w:ascii="Arial" w:eastAsiaTheme="minorHAnsi" w:hAnsi="Arial" w:cs="Arial"/>
          <w:sz w:val="22"/>
          <w:szCs w:val="22"/>
          <w:lang w:eastAsia="en-US"/>
        </w:rPr>
      </w:pPr>
    </w:p>
    <w:p w14:paraId="663A31C9" w14:textId="4D1D221C" w:rsidR="00977FAE" w:rsidRPr="000626FA" w:rsidRDefault="00977FAE" w:rsidP="00977FAE">
      <w:pPr>
        <w:spacing w:line="264" w:lineRule="auto"/>
        <w:jc w:val="both"/>
        <w:rPr>
          <w:rFonts w:ascii="Arial" w:eastAsiaTheme="minorHAnsi" w:hAnsi="Arial" w:cs="Arial"/>
          <w:b/>
          <w:bCs/>
          <w:color w:val="4F81BD" w:themeColor="accent1"/>
          <w:lang w:eastAsia="en-US"/>
        </w:rPr>
      </w:pPr>
      <w:r>
        <w:rPr>
          <w:rFonts w:ascii="Arial" w:eastAsiaTheme="minorHAnsi" w:hAnsi="Arial" w:cs="Arial"/>
          <w:b/>
          <w:bCs/>
          <w:color w:val="4F81BD" w:themeColor="accent1"/>
          <w:sz w:val="22"/>
          <w:szCs w:val="22"/>
          <w:lang w:eastAsia="en-US"/>
        </w:rPr>
        <w:lastRenderedPageBreak/>
        <w:t>2</w:t>
      </w:r>
      <w:r w:rsidRPr="000626FA">
        <w:rPr>
          <w:rFonts w:ascii="Arial" w:eastAsiaTheme="minorHAnsi" w:hAnsi="Arial" w:cs="Arial"/>
          <w:b/>
          <w:bCs/>
          <w:color w:val="4F81BD" w:themeColor="accent1"/>
          <w:sz w:val="22"/>
          <w:szCs w:val="22"/>
          <w:lang w:eastAsia="en-US"/>
        </w:rPr>
        <w:t xml:space="preserve">. </w:t>
      </w:r>
      <w:r>
        <w:rPr>
          <w:rFonts w:ascii="Arial" w:eastAsiaTheme="minorHAnsi" w:hAnsi="Arial" w:cs="Arial"/>
          <w:b/>
          <w:bCs/>
          <w:color w:val="4F81BD" w:themeColor="accent1"/>
          <w:lang w:eastAsia="en-US"/>
        </w:rPr>
        <w:t xml:space="preserve">Shrnutí plnění </w:t>
      </w:r>
      <w:r w:rsidR="009F2C1B">
        <w:rPr>
          <w:rFonts w:ascii="Arial" w:eastAsiaTheme="minorHAnsi" w:hAnsi="Arial" w:cs="Arial"/>
          <w:b/>
          <w:bCs/>
          <w:color w:val="4F81BD" w:themeColor="accent1"/>
          <w:lang w:eastAsia="en-US"/>
        </w:rPr>
        <w:t>Koncepce IS VaVaI</w:t>
      </w:r>
      <w:r w:rsidR="00011E5A">
        <w:rPr>
          <w:rFonts w:ascii="Arial" w:eastAsiaTheme="minorHAnsi" w:hAnsi="Arial" w:cs="Arial"/>
          <w:b/>
          <w:bCs/>
          <w:color w:val="4F81BD" w:themeColor="accent1"/>
          <w:lang w:eastAsia="en-US"/>
        </w:rPr>
        <w:t xml:space="preserve"> 2021–2025</w:t>
      </w:r>
    </w:p>
    <w:p w14:paraId="0BC935C5" w14:textId="77777777" w:rsidR="00977FAE" w:rsidRDefault="00977FAE" w:rsidP="000C7664">
      <w:pPr>
        <w:spacing w:line="264" w:lineRule="auto"/>
        <w:jc w:val="both"/>
        <w:rPr>
          <w:rFonts w:ascii="Arial" w:eastAsiaTheme="minorHAnsi" w:hAnsi="Arial" w:cs="Arial"/>
          <w:sz w:val="22"/>
          <w:szCs w:val="22"/>
          <w:lang w:eastAsia="en-US"/>
        </w:rPr>
      </w:pPr>
    </w:p>
    <w:p w14:paraId="175C110E" w14:textId="40D6CED2" w:rsidR="000C7664" w:rsidRDefault="000C7664" w:rsidP="000C7664">
      <w:pPr>
        <w:spacing w:line="264" w:lineRule="auto"/>
        <w:jc w:val="both"/>
        <w:rPr>
          <w:rFonts w:ascii="Arial" w:eastAsiaTheme="minorHAnsi" w:hAnsi="Arial" w:cs="Arial"/>
          <w:sz w:val="22"/>
          <w:szCs w:val="22"/>
          <w:lang w:eastAsia="en-US"/>
        </w:rPr>
      </w:pPr>
      <w:r w:rsidRPr="000C7664">
        <w:rPr>
          <w:rFonts w:ascii="Arial" w:eastAsiaTheme="minorHAnsi" w:hAnsi="Arial" w:cs="Arial"/>
          <w:sz w:val="22"/>
          <w:szCs w:val="22"/>
          <w:lang w:eastAsia="en-US"/>
        </w:rPr>
        <w:t>Celkově lze konstatovat, že Koncepce</w:t>
      </w:r>
      <w:r w:rsidR="00503D76">
        <w:rPr>
          <w:rFonts w:ascii="Arial" w:eastAsiaTheme="minorHAnsi" w:hAnsi="Arial" w:cs="Arial"/>
          <w:sz w:val="22"/>
          <w:szCs w:val="22"/>
          <w:lang w:eastAsia="en-US"/>
        </w:rPr>
        <w:t xml:space="preserve"> IS VaVaI</w:t>
      </w:r>
      <w:r w:rsidRPr="000C7664">
        <w:rPr>
          <w:rFonts w:ascii="Arial" w:eastAsiaTheme="minorHAnsi" w:hAnsi="Arial" w:cs="Arial"/>
          <w:sz w:val="22"/>
          <w:szCs w:val="22"/>
          <w:lang w:eastAsia="en-US"/>
        </w:rPr>
        <w:t xml:space="preserve"> </w:t>
      </w:r>
      <w:r w:rsidR="00391316">
        <w:rPr>
          <w:rFonts w:ascii="Arial" w:eastAsiaTheme="minorHAnsi" w:hAnsi="Arial" w:cs="Arial"/>
          <w:sz w:val="22"/>
          <w:szCs w:val="22"/>
          <w:lang w:eastAsia="en-US"/>
        </w:rPr>
        <w:t>2021-2025</w:t>
      </w:r>
      <w:r w:rsidRPr="000C7664">
        <w:rPr>
          <w:rFonts w:ascii="Arial" w:eastAsiaTheme="minorHAnsi" w:hAnsi="Arial" w:cs="Arial"/>
          <w:sz w:val="22"/>
          <w:szCs w:val="22"/>
          <w:lang w:eastAsia="en-US"/>
        </w:rPr>
        <w:t xml:space="preserve"> </w:t>
      </w:r>
      <w:r w:rsidRPr="00503D76">
        <w:rPr>
          <w:rFonts w:ascii="Arial" w:eastAsiaTheme="minorHAnsi" w:hAnsi="Arial" w:cs="Arial"/>
          <w:b/>
          <w:bCs/>
          <w:sz w:val="22"/>
          <w:szCs w:val="22"/>
          <w:lang w:eastAsia="en-US"/>
        </w:rPr>
        <w:t>byla naplněna ve vysoké míře, přičemž dosažené výsledky významně přispěly ke stabilitě, důvěryhodnosti a dalšímu rozvoji systému jako klíčové infrastrukturní komponenty státní správy v oblasti VaVaI</w:t>
      </w:r>
      <w:r w:rsidRPr="000C7664">
        <w:rPr>
          <w:rFonts w:ascii="Arial" w:eastAsiaTheme="minorHAnsi" w:hAnsi="Arial" w:cs="Arial"/>
          <w:sz w:val="22"/>
          <w:szCs w:val="22"/>
          <w:lang w:eastAsia="en-US"/>
        </w:rPr>
        <w:t xml:space="preserve">. </w:t>
      </w:r>
    </w:p>
    <w:p w14:paraId="1FC664D1" w14:textId="77777777" w:rsidR="000C7664" w:rsidRDefault="000C7664" w:rsidP="000C7664">
      <w:pPr>
        <w:spacing w:line="264" w:lineRule="auto"/>
        <w:jc w:val="both"/>
        <w:rPr>
          <w:rFonts w:ascii="Arial" w:eastAsiaTheme="minorHAnsi" w:hAnsi="Arial" w:cs="Arial"/>
          <w:sz w:val="22"/>
          <w:szCs w:val="22"/>
          <w:lang w:eastAsia="en-US"/>
        </w:rPr>
      </w:pPr>
    </w:p>
    <w:p w14:paraId="18EB1ED5" w14:textId="57DD2532" w:rsidR="000C7664" w:rsidRDefault="000C7664" w:rsidP="000C7664">
      <w:pPr>
        <w:spacing w:line="264" w:lineRule="auto"/>
        <w:jc w:val="both"/>
        <w:rPr>
          <w:rFonts w:ascii="Arial" w:eastAsiaTheme="minorHAnsi" w:hAnsi="Arial" w:cs="Arial"/>
          <w:sz w:val="22"/>
          <w:szCs w:val="22"/>
          <w:lang w:eastAsia="en-US"/>
        </w:rPr>
      </w:pPr>
      <w:r w:rsidRPr="000C7664">
        <w:rPr>
          <w:rFonts w:ascii="Arial" w:eastAsiaTheme="minorHAnsi" w:hAnsi="Arial" w:cs="Arial"/>
          <w:sz w:val="22"/>
          <w:szCs w:val="22"/>
          <w:lang w:eastAsia="en-US"/>
        </w:rPr>
        <w:t>Pro hodnocení plnění cílů Koncepce IS VaVaI byla stanovena sada 51 monitorovacích indikátorů navázaných na 36 opatření rozvoje IS VaVaI definovaných 7 strategickými oblastmi (Datový model a struktury, Veřejné rozhraní IS VaVaI, Uživatelská rozhraní a</w:t>
      </w:r>
      <w:r w:rsidR="00261328">
        <w:rPr>
          <w:rFonts w:ascii="Arial" w:eastAsiaTheme="minorHAnsi" w:hAnsi="Arial" w:cs="Arial"/>
          <w:sz w:val="22"/>
          <w:szCs w:val="22"/>
          <w:lang w:eastAsia="en-US"/>
        </w:rPr>
        <w:t> </w:t>
      </w:r>
      <w:r w:rsidRPr="000C7664">
        <w:rPr>
          <w:rFonts w:ascii="Arial" w:eastAsiaTheme="minorHAnsi" w:hAnsi="Arial" w:cs="Arial"/>
          <w:sz w:val="22"/>
          <w:szCs w:val="22"/>
          <w:lang w:eastAsia="en-US"/>
        </w:rPr>
        <w:t>podpora, Legislativní oblast, Konsolidace dat a propojování IS VaVaI s ostatními ISVS, Řízení bezpečnosti a Technická a provozní oblast). K jednotlivým opatřením, a</w:t>
      </w:r>
      <w:r w:rsidR="00B24836">
        <w:rPr>
          <w:rFonts w:ascii="Arial" w:eastAsiaTheme="minorHAnsi" w:hAnsi="Arial" w:cs="Arial"/>
          <w:sz w:val="22"/>
          <w:szCs w:val="22"/>
          <w:lang w:eastAsia="en-US"/>
        </w:rPr>
        <w:t> </w:t>
      </w:r>
      <w:r w:rsidRPr="000C7664">
        <w:rPr>
          <w:rFonts w:ascii="Arial" w:eastAsiaTheme="minorHAnsi" w:hAnsi="Arial" w:cs="Arial"/>
          <w:sz w:val="22"/>
          <w:szCs w:val="22"/>
          <w:lang w:eastAsia="en-US"/>
        </w:rPr>
        <w:t>tedy</w:t>
      </w:r>
      <w:r w:rsidR="00B24836">
        <w:rPr>
          <w:rFonts w:ascii="Arial" w:eastAsiaTheme="minorHAnsi" w:hAnsi="Arial" w:cs="Arial"/>
          <w:sz w:val="22"/>
          <w:szCs w:val="22"/>
          <w:lang w:eastAsia="en-US"/>
        </w:rPr>
        <w:t> </w:t>
      </w:r>
      <w:r w:rsidRPr="000C7664">
        <w:rPr>
          <w:rFonts w:ascii="Arial" w:eastAsiaTheme="minorHAnsi" w:hAnsi="Arial" w:cs="Arial"/>
          <w:sz w:val="22"/>
          <w:szCs w:val="22"/>
          <w:lang w:eastAsia="en-US"/>
        </w:rPr>
        <w:t>i</w:t>
      </w:r>
      <w:r w:rsidR="00261328">
        <w:rPr>
          <w:rFonts w:ascii="Arial" w:eastAsiaTheme="minorHAnsi" w:hAnsi="Arial" w:cs="Arial"/>
          <w:sz w:val="22"/>
          <w:szCs w:val="22"/>
          <w:lang w:eastAsia="en-US"/>
        </w:rPr>
        <w:t> </w:t>
      </w:r>
      <w:r w:rsidRPr="000C7664">
        <w:rPr>
          <w:rFonts w:ascii="Arial" w:eastAsiaTheme="minorHAnsi" w:hAnsi="Arial" w:cs="Arial"/>
          <w:sz w:val="22"/>
          <w:szCs w:val="22"/>
          <w:lang w:eastAsia="en-US"/>
        </w:rPr>
        <w:t>monitorovacím indikátorům byly stanoveny priority P1-P3. Prioritou</w:t>
      </w:r>
      <w:r w:rsidR="007A67BD">
        <w:rPr>
          <w:rFonts w:ascii="Arial" w:eastAsiaTheme="minorHAnsi" w:hAnsi="Arial" w:cs="Arial"/>
          <w:sz w:val="22"/>
          <w:szCs w:val="22"/>
          <w:lang w:eastAsia="en-US"/>
        </w:rPr>
        <w:t xml:space="preserve"> </w:t>
      </w:r>
      <w:r w:rsidRPr="000C7664">
        <w:rPr>
          <w:rFonts w:ascii="Arial" w:eastAsiaTheme="minorHAnsi" w:hAnsi="Arial" w:cs="Arial"/>
          <w:sz w:val="22"/>
          <w:szCs w:val="22"/>
          <w:lang w:eastAsia="en-US"/>
        </w:rPr>
        <w:t>P1 byla označena opatření, která jsou pro provoz, funkčnost a vytěžování IS VaVaI kritická a</w:t>
      </w:r>
      <w:r w:rsidR="00B24836">
        <w:rPr>
          <w:rFonts w:ascii="Arial" w:eastAsiaTheme="minorHAnsi" w:hAnsi="Arial" w:cs="Arial"/>
          <w:sz w:val="22"/>
          <w:szCs w:val="22"/>
          <w:lang w:eastAsia="en-US"/>
        </w:rPr>
        <w:t> </w:t>
      </w:r>
      <w:r w:rsidRPr="000C7664">
        <w:rPr>
          <w:rFonts w:ascii="Arial" w:eastAsiaTheme="minorHAnsi" w:hAnsi="Arial" w:cs="Arial"/>
          <w:sz w:val="22"/>
          <w:szCs w:val="22"/>
          <w:lang w:eastAsia="en-US"/>
        </w:rPr>
        <w:t>jejich</w:t>
      </w:r>
      <w:r w:rsidR="00B24836">
        <w:rPr>
          <w:rFonts w:ascii="Arial" w:eastAsiaTheme="minorHAnsi" w:hAnsi="Arial" w:cs="Arial"/>
          <w:sz w:val="22"/>
          <w:szCs w:val="22"/>
          <w:lang w:eastAsia="en-US"/>
        </w:rPr>
        <w:t> </w:t>
      </w:r>
      <w:r w:rsidRPr="000C7664">
        <w:rPr>
          <w:rFonts w:ascii="Arial" w:eastAsiaTheme="minorHAnsi" w:hAnsi="Arial" w:cs="Arial"/>
          <w:sz w:val="22"/>
          <w:szCs w:val="22"/>
          <w:lang w:eastAsia="en-US"/>
        </w:rPr>
        <w:t>realizace je nezbytná.</w:t>
      </w:r>
      <w:r w:rsidR="007A67BD">
        <w:rPr>
          <w:rFonts w:ascii="Arial" w:eastAsiaTheme="minorHAnsi" w:hAnsi="Arial" w:cs="Arial"/>
          <w:sz w:val="22"/>
          <w:szCs w:val="22"/>
          <w:lang w:eastAsia="en-US"/>
        </w:rPr>
        <w:t xml:space="preserve"> </w:t>
      </w:r>
      <w:r w:rsidRPr="000C7664">
        <w:rPr>
          <w:rFonts w:ascii="Arial" w:eastAsiaTheme="minorHAnsi" w:hAnsi="Arial" w:cs="Arial"/>
          <w:sz w:val="22"/>
          <w:szCs w:val="22"/>
          <w:lang w:eastAsia="en-US"/>
        </w:rPr>
        <w:t>Prioritou P2 byla označena opatření, která jsou významná a</w:t>
      </w:r>
      <w:r w:rsidR="00B24836">
        <w:rPr>
          <w:rFonts w:ascii="Arial" w:eastAsiaTheme="minorHAnsi" w:hAnsi="Arial" w:cs="Arial"/>
          <w:sz w:val="22"/>
          <w:szCs w:val="22"/>
          <w:lang w:eastAsia="en-US"/>
        </w:rPr>
        <w:t> </w:t>
      </w:r>
      <w:r w:rsidRPr="000C7664">
        <w:rPr>
          <w:rFonts w:ascii="Arial" w:eastAsiaTheme="minorHAnsi" w:hAnsi="Arial" w:cs="Arial"/>
          <w:sz w:val="22"/>
          <w:szCs w:val="22"/>
          <w:lang w:eastAsia="en-US"/>
        </w:rPr>
        <w:t>prioritou P3 byla označena ta opatření, která zkvalitňují funkcionality IS VaVaI. Dále byly určeny termíny plnění jednotlivých opatření.</w:t>
      </w:r>
    </w:p>
    <w:p w14:paraId="435E7C21" w14:textId="77777777" w:rsidR="000C7664" w:rsidRDefault="000C7664" w:rsidP="000C7664">
      <w:pPr>
        <w:spacing w:line="264" w:lineRule="auto"/>
        <w:jc w:val="both"/>
        <w:rPr>
          <w:rFonts w:ascii="Arial" w:eastAsiaTheme="minorHAnsi" w:hAnsi="Arial" w:cs="Arial"/>
          <w:sz w:val="22"/>
          <w:szCs w:val="22"/>
          <w:lang w:eastAsia="en-US"/>
        </w:rPr>
      </w:pPr>
    </w:p>
    <w:p w14:paraId="39C6E2B5" w14:textId="7BCF55B0" w:rsidR="00AF07DE" w:rsidRDefault="000C7664" w:rsidP="002E3D22">
      <w:pPr>
        <w:spacing w:line="264" w:lineRule="auto"/>
        <w:jc w:val="both"/>
        <w:rPr>
          <w:rFonts w:ascii="Arial" w:eastAsiaTheme="minorHAnsi" w:hAnsi="Arial" w:cs="Arial"/>
          <w:sz w:val="22"/>
          <w:szCs w:val="22"/>
          <w:lang w:eastAsia="en-US"/>
        </w:rPr>
      </w:pPr>
      <w:r w:rsidRPr="000C7664">
        <w:rPr>
          <w:rFonts w:ascii="Arial" w:eastAsiaTheme="minorHAnsi" w:hAnsi="Arial" w:cs="Arial"/>
          <w:sz w:val="22"/>
          <w:szCs w:val="22"/>
          <w:lang w:eastAsia="en-US"/>
        </w:rPr>
        <w:t xml:space="preserve">Na základě vyhodnocení celkem </w:t>
      </w:r>
      <w:r w:rsidRPr="006C3B5D">
        <w:rPr>
          <w:rFonts w:ascii="Arial" w:eastAsiaTheme="minorHAnsi" w:hAnsi="Arial" w:cs="Arial"/>
          <w:b/>
          <w:bCs/>
          <w:sz w:val="22"/>
          <w:szCs w:val="22"/>
          <w:lang w:eastAsia="en-US"/>
        </w:rPr>
        <w:t xml:space="preserve">51 </w:t>
      </w:r>
      <w:r w:rsidR="0040450D" w:rsidRPr="006C3B5D">
        <w:rPr>
          <w:rFonts w:ascii="Arial" w:eastAsiaTheme="minorHAnsi" w:hAnsi="Arial" w:cs="Arial"/>
          <w:b/>
          <w:bCs/>
          <w:sz w:val="22"/>
          <w:szCs w:val="22"/>
          <w:lang w:eastAsia="en-US"/>
        </w:rPr>
        <w:t>monitorovacích indikátorů</w:t>
      </w:r>
      <w:r w:rsidRPr="000C7664">
        <w:rPr>
          <w:rFonts w:ascii="Arial" w:eastAsiaTheme="minorHAnsi" w:hAnsi="Arial" w:cs="Arial"/>
          <w:sz w:val="22"/>
          <w:szCs w:val="22"/>
          <w:lang w:eastAsia="en-US"/>
        </w:rPr>
        <w:t xml:space="preserve"> lze konstatovat, že většina opatření </w:t>
      </w:r>
      <w:r w:rsidR="00B24836">
        <w:rPr>
          <w:rFonts w:ascii="Arial" w:eastAsiaTheme="minorHAnsi" w:hAnsi="Arial" w:cs="Arial"/>
          <w:sz w:val="22"/>
          <w:szCs w:val="22"/>
          <w:lang w:eastAsia="en-US"/>
        </w:rPr>
        <w:t>byla</w:t>
      </w:r>
      <w:r w:rsidRPr="000C7664">
        <w:rPr>
          <w:rFonts w:ascii="Arial" w:eastAsiaTheme="minorHAnsi" w:hAnsi="Arial" w:cs="Arial"/>
          <w:sz w:val="22"/>
          <w:szCs w:val="22"/>
          <w:lang w:eastAsia="en-US"/>
        </w:rPr>
        <w:t xml:space="preserve"> plněna úspěšně. </w:t>
      </w:r>
      <w:r w:rsidRPr="0040450D">
        <w:rPr>
          <w:rFonts w:ascii="Arial" w:eastAsiaTheme="minorHAnsi" w:hAnsi="Arial" w:cs="Arial"/>
          <w:b/>
          <w:bCs/>
          <w:sz w:val="22"/>
          <w:szCs w:val="22"/>
          <w:lang w:eastAsia="en-US"/>
        </w:rPr>
        <w:t>Plně splněn</w:t>
      </w:r>
      <w:r w:rsidR="004E1EAF">
        <w:rPr>
          <w:rFonts w:ascii="Arial" w:eastAsiaTheme="minorHAnsi" w:hAnsi="Arial" w:cs="Arial"/>
          <w:b/>
          <w:bCs/>
          <w:sz w:val="22"/>
          <w:szCs w:val="22"/>
          <w:lang w:eastAsia="en-US"/>
        </w:rPr>
        <w:t>é</w:t>
      </w:r>
      <w:r w:rsidRPr="0040450D">
        <w:rPr>
          <w:rFonts w:ascii="Arial" w:eastAsiaTheme="minorHAnsi" w:hAnsi="Arial" w:cs="Arial"/>
          <w:b/>
          <w:bCs/>
          <w:sz w:val="22"/>
          <w:szCs w:val="22"/>
          <w:lang w:eastAsia="en-US"/>
        </w:rPr>
        <w:t xml:space="preserve"> </w:t>
      </w:r>
      <w:r w:rsidR="004E1EAF">
        <w:rPr>
          <w:rFonts w:ascii="Arial" w:eastAsiaTheme="minorHAnsi" w:hAnsi="Arial" w:cs="Arial"/>
          <w:b/>
          <w:bCs/>
          <w:sz w:val="22"/>
          <w:szCs w:val="22"/>
          <w:lang w:eastAsia="en-US"/>
        </w:rPr>
        <w:t>indikátory</w:t>
      </w:r>
      <w:r w:rsidRPr="0040450D">
        <w:rPr>
          <w:rFonts w:ascii="Arial" w:eastAsiaTheme="minorHAnsi" w:hAnsi="Arial" w:cs="Arial"/>
          <w:b/>
          <w:bCs/>
          <w:sz w:val="22"/>
          <w:szCs w:val="22"/>
          <w:lang w:eastAsia="en-US"/>
        </w:rPr>
        <w:t xml:space="preserve"> představují </w:t>
      </w:r>
      <w:r w:rsidR="0061372C">
        <w:rPr>
          <w:rFonts w:ascii="Arial" w:eastAsiaTheme="minorHAnsi" w:hAnsi="Arial" w:cs="Arial"/>
          <w:b/>
          <w:bCs/>
          <w:sz w:val="22"/>
          <w:szCs w:val="22"/>
          <w:lang w:eastAsia="en-US"/>
        </w:rPr>
        <w:t>68,6</w:t>
      </w:r>
      <w:r w:rsidRPr="0040450D">
        <w:rPr>
          <w:rFonts w:ascii="Arial" w:eastAsiaTheme="minorHAnsi" w:hAnsi="Arial" w:cs="Arial"/>
          <w:b/>
          <w:bCs/>
          <w:sz w:val="22"/>
          <w:szCs w:val="22"/>
          <w:lang w:eastAsia="en-US"/>
        </w:rPr>
        <w:t xml:space="preserve"> %</w:t>
      </w:r>
      <w:r w:rsidR="0061372C">
        <w:rPr>
          <w:rFonts w:ascii="Arial" w:eastAsiaTheme="minorHAnsi" w:hAnsi="Arial" w:cs="Arial"/>
          <w:b/>
          <w:bCs/>
          <w:sz w:val="22"/>
          <w:szCs w:val="22"/>
          <w:lang w:eastAsia="en-US"/>
        </w:rPr>
        <w:t xml:space="preserve"> (35)</w:t>
      </w:r>
      <w:r w:rsidRPr="000C7664">
        <w:rPr>
          <w:rFonts w:ascii="Arial" w:eastAsiaTheme="minorHAnsi" w:hAnsi="Arial" w:cs="Arial"/>
          <w:sz w:val="22"/>
          <w:szCs w:val="22"/>
          <w:lang w:eastAsia="en-US"/>
        </w:rPr>
        <w:t>, což</w:t>
      </w:r>
      <w:r w:rsidR="007A67BD">
        <w:rPr>
          <w:rFonts w:ascii="Arial" w:eastAsiaTheme="minorHAnsi" w:hAnsi="Arial" w:cs="Arial"/>
          <w:sz w:val="22"/>
          <w:szCs w:val="22"/>
          <w:lang w:eastAsia="en-US"/>
        </w:rPr>
        <w:t> </w:t>
      </w:r>
      <w:r w:rsidRPr="000C7664">
        <w:rPr>
          <w:rFonts w:ascii="Arial" w:eastAsiaTheme="minorHAnsi" w:hAnsi="Arial" w:cs="Arial"/>
          <w:sz w:val="22"/>
          <w:szCs w:val="22"/>
          <w:lang w:eastAsia="en-US"/>
        </w:rPr>
        <w:t>potvrzuje, že</w:t>
      </w:r>
      <w:r w:rsidR="00261328">
        <w:rPr>
          <w:rFonts w:ascii="Arial" w:eastAsiaTheme="minorHAnsi" w:hAnsi="Arial" w:cs="Arial"/>
          <w:sz w:val="22"/>
          <w:szCs w:val="22"/>
          <w:lang w:eastAsia="en-US"/>
        </w:rPr>
        <w:t> </w:t>
      </w:r>
      <w:r w:rsidRPr="000C7664">
        <w:rPr>
          <w:rFonts w:ascii="Arial" w:eastAsiaTheme="minorHAnsi" w:hAnsi="Arial" w:cs="Arial"/>
          <w:sz w:val="22"/>
          <w:szCs w:val="22"/>
          <w:lang w:eastAsia="en-US"/>
        </w:rPr>
        <w:t xml:space="preserve">modernizace a rozvoj IS </w:t>
      </w:r>
      <w:r w:rsidR="00B24836">
        <w:rPr>
          <w:rFonts w:ascii="Arial" w:eastAsiaTheme="minorHAnsi" w:hAnsi="Arial" w:cs="Arial"/>
          <w:sz w:val="22"/>
          <w:szCs w:val="22"/>
          <w:lang w:eastAsia="en-US"/>
        </w:rPr>
        <w:t>byly</w:t>
      </w:r>
      <w:r w:rsidRPr="000C7664">
        <w:rPr>
          <w:rFonts w:ascii="Arial" w:eastAsiaTheme="minorHAnsi" w:hAnsi="Arial" w:cs="Arial"/>
          <w:sz w:val="22"/>
          <w:szCs w:val="22"/>
          <w:lang w:eastAsia="en-US"/>
        </w:rPr>
        <w:t xml:space="preserve"> realizovány systematicky a v souladu se</w:t>
      </w:r>
      <w:r w:rsidR="007A67BD">
        <w:rPr>
          <w:rFonts w:ascii="Arial" w:eastAsiaTheme="minorHAnsi" w:hAnsi="Arial" w:cs="Arial"/>
          <w:sz w:val="22"/>
          <w:szCs w:val="22"/>
          <w:lang w:eastAsia="en-US"/>
        </w:rPr>
        <w:t> </w:t>
      </w:r>
      <w:r w:rsidRPr="000C7664">
        <w:rPr>
          <w:rFonts w:ascii="Arial" w:eastAsiaTheme="minorHAnsi" w:hAnsi="Arial" w:cs="Arial"/>
          <w:sz w:val="22"/>
          <w:szCs w:val="22"/>
          <w:lang w:eastAsia="en-US"/>
        </w:rPr>
        <w:t xml:space="preserve">stanovenými cíli. Dalších téměř </w:t>
      </w:r>
      <w:r w:rsidR="0061372C">
        <w:rPr>
          <w:rFonts w:ascii="Arial" w:eastAsiaTheme="minorHAnsi" w:hAnsi="Arial" w:cs="Arial"/>
          <w:b/>
          <w:bCs/>
          <w:sz w:val="22"/>
          <w:szCs w:val="22"/>
          <w:lang w:eastAsia="en-US"/>
        </w:rPr>
        <w:t>9,8</w:t>
      </w:r>
      <w:r w:rsidRPr="004E1EAF">
        <w:rPr>
          <w:rFonts w:ascii="Arial" w:eastAsiaTheme="minorHAnsi" w:hAnsi="Arial" w:cs="Arial"/>
          <w:b/>
          <w:bCs/>
          <w:sz w:val="22"/>
          <w:szCs w:val="22"/>
          <w:lang w:eastAsia="en-US"/>
        </w:rPr>
        <w:t xml:space="preserve"> % </w:t>
      </w:r>
      <w:r w:rsidR="004E1EAF" w:rsidRPr="004E1EAF">
        <w:rPr>
          <w:rFonts w:ascii="Arial" w:eastAsiaTheme="minorHAnsi" w:hAnsi="Arial" w:cs="Arial"/>
          <w:b/>
          <w:bCs/>
          <w:sz w:val="22"/>
          <w:szCs w:val="22"/>
          <w:lang w:eastAsia="en-US"/>
        </w:rPr>
        <w:t>monitorovacích indikátorů bylo splněno</w:t>
      </w:r>
      <w:r w:rsidRPr="004E1EAF">
        <w:rPr>
          <w:rFonts w:ascii="Arial" w:eastAsiaTheme="minorHAnsi" w:hAnsi="Arial" w:cs="Arial"/>
          <w:b/>
          <w:bCs/>
          <w:sz w:val="22"/>
          <w:szCs w:val="22"/>
          <w:lang w:eastAsia="en-US"/>
        </w:rPr>
        <w:t xml:space="preserve"> částečně</w:t>
      </w:r>
      <w:r w:rsidR="0061372C">
        <w:rPr>
          <w:rFonts w:ascii="Arial" w:eastAsiaTheme="minorHAnsi" w:hAnsi="Arial" w:cs="Arial"/>
          <w:b/>
          <w:bCs/>
          <w:sz w:val="22"/>
          <w:szCs w:val="22"/>
          <w:lang w:eastAsia="en-US"/>
        </w:rPr>
        <w:t xml:space="preserve"> (5)</w:t>
      </w:r>
      <w:r w:rsidRPr="000C7664">
        <w:rPr>
          <w:rFonts w:ascii="Arial" w:eastAsiaTheme="minorHAnsi" w:hAnsi="Arial" w:cs="Arial"/>
          <w:sz w:val="22"/>
          <w:szCs w:val="22"/>
          <w:lang w:eastAsia="en-US"/>
        </w:rPr>
        <w:t>, což indikuje, že klíčové principy byly implementovány, avšak v některých případech zatím nedošlo k jejich úplnému formálnímu nebo integračnímu dotažení.</w:t>
      </w:r>
      <w:r w:rsidR="003E54AB">
        <w:rPr>
          <w:rFonts w:ascii="Arial" w:eastAsiaTheme="minorHAnsi" w:hAnsi="Arial" w:cs="Arial"/>
          <w:sz w:val="22"/>
          <w:szCs w:val="22"/>
          <w:lang w:eastAsia="en-US"/>
        </w:rPr>
        <w:t xml:space="preserve"> </w:t>
      </w:r>
      <w:r w:rsidR="003E54AB" w:rsidRPr="00E12009">
        <w:rPr>
          <w:rFonts w:ascii="Arial" w:eastAsiaTheme="minorHAnsi" w:hAnsi="Arial" w:cs="Arial"/>
          <w:sz w:val="22"/>
          <w:szCs w:val="22"/>
          <w:lang w:eastAsia="en-US"/>
        </w:rPr>
        <w:t xml:space="preserve">Nesplněná opatření představují </w:t>
      </w:r>
      <w:r w:rsidR="003E54AB">
        <w:rPr>
          <w:rFonts w:ascii="Arial" w:eastAsiaTheme="minorHAnsi" w:hAnsi="Arial" w:cs="Arial"/>
          <w:b/>
          <w:bCs/>
          <w:sz w:val="22"/>
          <w:szCs w:val="22"/>
          <w:lang w:eastAsia="en-US"/>
        </w:rPr>
        <w:t>21,6</w:t>
      </w:r>
      <w:r w:rsidR="003E54AB" w:rsidRPr="003E54AB">
        <w:rPr>
          <w:rFonts w:ascii="Arial" w:eastAsiaTheme="minorHAnsi" w:hAnsi="Arial" w:cs="Arial"/>
          <w:b/>
          <w:bCs/>
          <w:sz w:val="22"/>
          <w:szCs w:val="22"/>
          <w:lang w:eastAsia="en-US"/>
        </w:rPr>
        <w:t xml:space="preserve"> %</w:t>
      </w:r>
      <w:r w:rsidR="006C3B5D">
        <w:rPr>
          <w:rFonts w:ascii="Arial" w:eastAsiaTheme="minorHAnsi" w:hAnsi="Arial" w:cs="Arial"/>
          <w:b/>
          <w:bCs/>
          <w:sz w:val="22"/>
          <w:szCs w:val="22"/>
          <w:lang w:eastAsia="en-US"/>
        </w:rPr>
        <w:t xml:space="preserve"> (11)</w:t>
      </w:r>
      <w:r w:rsidR="003E54AB" w:rsidRPr="00E12009">
        <w:rPr>
          <w:rFonts w:ascii="Arial" w:eastAsiaTheme="minorHAnsi" w:hAnsi="Arial" w:cs="Arial"/>
          <w:sz w:val="22"/>
          <w:szCs w:val="22"/>
          <w:lang w:eastAsia="en-US"/>
        </w:rPr>
        <w:t xml:space="preserve">, přičemž jejich nerealizace byla ve většině případů výsledkem vědomé prioritizace, </w:t>
      </w:r>
      <w:r w:rsidR="00B24836">
        <w:rPr>
          <w:rFonts w:ascii="Arial" w:eastAsiaTheme="minorHAnsi" w:hAnsi="Arial" w:cs="Arial"/>
          <w:sz w:val="22"/>
          <w:szCs w:val="22"/>
          <w:lang w:eastAsia="en-US"/>
        </w:rPr>
        <w:t>personálních</w:t>
      </w:r>
      <w:r w:rsidR="003E54AB" w:rsidRPr="00E12009">
        <w:rPr>
          <w:rFonts w:ascii="Arial" w:eastAsiaTheme="minorHAnsi" w:hAnsi="Arial" w:cs="Arial"/>
          <w:sz w:val="22"/>
          <w:szCs w:val="22"/>
          <w:lang w:eastAsia="en-US"/>
        </w:rPr>
        <w:t xml:space="preserve"> omezení</w:t>
      </w:r>
      <w:r w:rsidR="007734DF">
        <w:rPr>
          <w:rFonts w:ascii="Arial" w:eastAsiaTheme="minorHAnsi" w:hAnsi="Arial" w:cs="Arial"/>
          <w:sz w:val="22"/>
          <w:szCs w:val="22"/>
          <w:lang w:eastAsia="en-US"/>
        </w:rPr>
        <w:t xml:space="preserve">, </w:t>
      </w:r>
      <w:r w:rsidR="003E54AB" w:rsidRPr="00E12009">
        <w:rPr>
          <w:rFonts w:ascii="Arial" w:eastAsiaTheme="minorHAnsi" w:hAnsi="Arial" w:cs="Arial"/>
          <w:sz w:val="22"/>
          <w:szCs w:val="22"/>
          <w:lang w:eastAsia="en-US"/>
        </w:rPr>
        <w:t>změn legislativního a</w:t>
      </w:r>
      <w:r w:rsidR="006C3B5D">
        <w:rPr>
          <w:rFonts w:ascii="Arial" w:eastAsiaTheme="minorHAnsi" w:hAnsi="Arial" w:cs="Arial"/>
          <w:sz w:val="22"/>
          <w:szCs w:val="22"/>
          <w:lang w:eastAsia="en-US"/>
        </w:rPr>
        <w:t> </w:t>
      </w:r>
      <w:r w:rsidR="003E54AB" w:rsidRPr="00E12009">
        <w:rPr>
          <w:rFonts w:ascii="Arial" w:eastAsiaTheme="minorHAnsi" w:hAnsi="Arial" w:cs="Arial"/>
          <w:sz w:val="22"/>
          <w:szCs w:val="22"/>
          <w:lang w:eastAsia="en-US"/>
        </w:rPr>
        <w:t>institucionálního rámce</w:t>
      </w:r>
      <w:r w:rsidR="007734DF">
        <w:rPr>
          <w:rFonts w:ascii="Arial" w:eastAsiaTheme="minorHAnsi" w:hAnsi="Arial" w:cs="Arial"/>
          <w:sz w:val="22"/>
          <w:szCs w:val="22"/>
          <w:lang w:eastAsia="en-US"/>
        </w:rPr>
        <w:t xml:space="preserve"> a </w:t>
      </w:r>
      <w:r w:rsidR="007734DF" w:rsidRPr="000C7664">
        <w:rPr>
          <w:rFonts w:ascii="Arial" w:eastAsiaTheme="minorHAnsi" w:hAnsi="Arial" w:cs="Arial"/>
          <w:sz w:val="22"/>
          <w:szCs w:val="22"/>
          <w:lang w:eastAsia="en-US"/>
        </w:rPr>
        <w:t>orientace na oblasti s</w:t>
      </w:r>
      <w:r w:rsidR="007734DF">
        <w:rPr>
          <w:rFonts w:ascii="Arial" w:eastAsiaTheme="minorHAnsi" w:hAnsi="Arial" w:cs="Arial"/>
          <w:sz w:val="22"/>
          <w:szCs w:val="22"/>
          <w:lang w:eastAsia="en-US"/>
        </w:rPr>
        <w:t> </w:t>
      </w:r>
      <w:r w:rsidR="007734DF" w:rsidRPr="000C7664">
        <w:rPr>
          <w:rFonts w:ascii="Arial" w:eastAsiaTheme="minorHAnsi" w:hAnsi="Arial" w:cs="Arial"/>
          <w:sz w:val="22"/>
          <w:szCs w:val="22"/>
          <w:lang w:eastAsia="en-US"/>
        </w:rPr>
        <w:t>nejvyšší přidanou hodnotou</w:t>
      </w:r>
      <w:r w:rsidR="00902BD2">
        <w:rPr>
          <w:rFonts w:ascii="Arial" w:eastAsiaTheme="minorHAnsi" w:hAnsi="Arial" w:cs="Arial"/>
          <w:sz w:val="22"/>
          <w:szCs w:val="22"/>
          <w:lang w:eastAsia="en-US"/>
        </w:rPr>
        <w:t>.</w:t>
      </w:r>
      <w:r w:rsidR="00D21023">
        <w:rPr>
          <w:rFonts w:ascii="Arial" w:eastAsiaTheme="minorHAnsi" w:hAnsi="Arial" w:cs="Arial"/>
          <w:sz w:val="22"/>
          <w:szCs w:val="22"/>
          <w:lang w:eastAsia="en-US"/>
        </w:rPr>
        <w:t xml:space="preserve"> </w:t>
      </w:r>
      <w:r w:rsidR="002E3D22" w:rsidRPr="00E12009">
        <w:rPr>
          <w:rFonts w:ascii="Arial" w:eastAsiaTheme="minorHAnsi" w:hAnsi="Arial" w:cs="Arial"/>
          <w:sz w:val="22"/>
          <w:szCs w:val="22"/>
          <w:lang w:eastAsia="en-US"/>
        </w:rPr>
        <w:t>Z</w:t>
      </w:r>
      <w:r w:rsidR="00B24836">
        <w:rPr>
          <w:rFonts w:ascii="Arial" w:eastAsiaTheme="minorHAnsi" w:hAnsi="Arial" w:cs="Arial"/>
          <w:sz w:val="22"/>
          <w:szCs w:val="22"/>
          <w:lang w:eastAsia="en-US"/>
        </w:rPr>
        <w:t> </w:t>
      </w:r>
      <w:r w:rsidR="002E3D22" w:rsidRPr="00E12009">
        <w:rPr>
          <w:rFonts w:ascii="Arial" w:eastAsiaTheme="minorHAnsi" w:hAnsi="Arial" w:cs="Arial"/>
          <w:sz w:val="22"/>
          <w:szCs w:val="22"/>
          <w:lang w:eastAsia="en-US"/>
        </w:rPr>
        <w:t>tohoto</w:t>
      </w:r>
      <w:r w:rsidR="00B24836">
        <w:rPr>
          <w:rFonts w:ascii="Arial" w:eastAsiaTheme="minorHAnsi" w:hAnsi="Arial" w:cs="Arial"/>
          <w:sz w:val="22"/>
          <w:szCs w:val="22"/>
          <w:lang w:eastAsia="en-US"/>
        </w:rPr>
        <w:t> </w:t>
      </w:r>
      <w:r w:rsidR="002E3D22" w:rsidRPr="00E12009">
        <w:rPr>
          <w:rFonts w:ascii="Arial" w:eastAsiaTheme="minorHAnsi" w:hAnsi="Arial" w:cs="Arial"/>
          <w:sz w:val="22"/>
          <w:szCs w:val="22"/>
          <w:lang w:eastAsia="en-US"/>
        </w:rPr>
        <w:t>pohledu lze realizovanou strukturu plnění hodnotit jako projev odpovědného a</w:t>
      </w:r>
      <w:r w:rsidR="00B24836">
        <w:rPr>
          <w:rFonts w:ascii="Arial" w:eastAsiaTheme="minorHAnsi" w:hAnsi="Arial" w:cs="Arial"/>
          <w:sz w:val="22"/>
          <w:szCs w:val="22"/>
          <w:lang w:eastAsia="en-US"/>
        </w:rPr>
        <w:t> </w:t>
      </w:r>
      <w:r w:rsidR="002E3D22" w:rsidRPr="00E12009">
        <w:rPr>
          <w:rFonts w:ascii="Arial" w:eastAsiaTheme="minorHAnsi" w:hAnsi="Arial" w:cs="Arial"/>
          <w:sz w:val="22"/>
          <w:szCs w:val="22"/>
          <w:lang w:eastAsia="en-US"/>
        </w:rPr>
        <w:t>racionálního řízení rozvoje IS</w:t>
      </w:r>
      <w:r w:rsidR="002E3D22">
        <w:rPr>
          <w:rFonts w:ascii="Arial" w:eastAsiaTheme="minorHAnsi" w:hAnsi="Arial" w:cs="Arial"/>
          <w:sz w:val="22"/>
          <w:szCs w:val="22"/>
          <w:lang w:eastAsia="en-US"/>
        </w:rPr>
        <w:t xml:space="preserve"> VaVaI</w:t>
      </w:r>
      <w:r w:rsidR="002E3D22" w:rsidRPr="00E12009">
        <w:rPr>
          <w:rFonts w:ascii="Arial" w:eastAsiaTheme="minorHAnsi" w:hAnsi="Arial" w:cs="Arial"/>
          <w:sz w:val="22"/>
          <w:szCs w:val="22"/>
          <w:lang w:eastAsia="en-US"/>
        </w:rPr>
        <w:t>, nikoli jako nedostatek koncepčního přístupu.</w:t>
      </w:r>
      <w:r w:rsidR="002E3D22">
        <w:rPr>
          <w:rFonts w:ascii="Arial" w:eastAsiaTheme="minorHAnsi" w:hAnsi="Arial" w:cs="Arial"/>
          <w:sz w:val="22"/>
          <w:szCs w:val="22"/>
          <w:lang w:eastAsia="en-US"/>
        </w:rPr>
        <w:t xml:space="preserve"> </w:t>
      </w:r>
    </w:p>
    <w:p w14:paraId="1A0A7564" w14:textId="77777777" w:rsidR="007C221F" w:rsidRDefault="007C221F" w:rsidP="007C221F">
      <w:pPr>
        <w:spacing w:line="264" w:lineRule="auto"/>
        <w:jc w:val="both"/>
        <w:rPr>
          <w:rFonts w:ascii="Arial" w:eastAsiaTheme="minorHAnsi" w:hAnsi="Arial" w:cs="Arial"/>
          <w:b/>
          <w:bCs/>
          <w:sz w:val="22"/>
          <w:szCs w:val="22"/>
          <w:lang w:eastAsia="en-US"/>
        </w:rPr>
      </w:pPr>
    </w:p>
    <w:p w14:paraId="5739E981" w14:textId="708ECF4E" w:rsidR="007C221F" w:rsidRPr="00E562D3" w:rsidRDefault="007C221F" w:rsidP="007C221F">
      <w:pPr>
        <w:spacing w:line="264" w:lineRule="auto"/>
        <w:jc w:val="both"/>
        <w:rPr>
          <w:rFonts w:ascii="Arial" w:eastAsiaTheme="minorHAnsi" w:hAnsi="Arial" w:cs="Arial"/>
          <w:sz w:val="22"/>
          <w:szCs w:val="22"/>
          <w:lang w:eastAsia="en-US"/>
        </w:rPr>
      </w:pPr>
      <w:r w:rsidRPr="00E562D3">
        <w:rPr>
          <w:rFonts w:ascii="Arial" w:eastAsiaTheme="minorHAnsi" w:hAnsi="Arial" w:cs="Arial"/>
          <w:b/>
          <w:bCs/>
          <w:sz w:val="22"/>
          <w:szCs w:val="22"/>
          <w:lang w:eastAsia="en-US"/>
        </w:rPr>
        <w:t>Graf č. 1</w:t>
      </w:r>
      <w:r w:rsidRPr="00E562D3">
        <w:rPr>
          <w:rFonts w:ascii="Arial" w:eastAsiaTheme="minorHAnsi" w:hAnsi="Arial" w:cs="Arial"/>
          <w:sz w:val="22"/>
          <w:szCs w:val="22"/>
          <w:lang w:eastAsia="en-US"/>
        </w:rPr>
        <w:t xml:space="preserve">: </w:t>
      </w:r>
      <w:r w:rsidR="00432AAB">
        <w:rPr>
          <w:rFonts w:ascii="Arial" w:eastAsiaTheme="minorHAnsi" w:hAnsi="Arial" w:cs="Arial"/>
          <w:sz w:val="22"/>
          <w:szCs w:val="22"/>
          <w:lang w:eastAsia="en-US"/>
        </w:rPr>
        <w:t>P</w:t>
      </w:r>
      <w:r>
        <w:rPr>
          <w:rFonts w:ascii="Arial" w:eastAsiaTheme="minorHAnsi" w:hAnsi="Arial" w:cs="Arial"/>
          <w:sz w:val="22"/>
          <w:szCs w:val="22"/>
          <w:lang w:eastAsia="en-US"/>
        </w:rPr>
        <w:t xml:space="preserve">lnění </w:t>
      </w:r>
      <w:r w:rsidR="00432AAB">
        <w:rPr>
          <w:rFonts w:ascii="Arial" w:eastAsiaTheme="minorHAnsi" w:hAnsi="Arial" w:cs="Arial"/>
          <w:sz w:val="22"/>
          <w:szCs w:val="22"/>
          <w:lang w:eastAsia="en-US"/>
        </w:rPr>
        <w:t xml:space="preserve">monitorovacích </w:t>
      </w:r>
      <w:r>
        <w:rPr>
          <w:rFonts w:ascii="Arial" w:eastAsiaTheme="minorHAnsi" w:hAnsi="Arial" w:cs="Arial"/>
          <w:sz w:val="22"/>
          <w:szCs w:val="22"/>
          <w:lang w:eastAsia="en-US"/>
        </w:rPr>
        <w:t>indikátorů</w:t>
      </w:r>
      <w:r w:rsidR="00432AAB">
        <w:rPr>
          <w:rFonts w:ascii="Arial" w:eastAsiaTheme="minorHAnsi" w:hAnsi="Arial" w:cs="Arial"/>
          <w:sz w:val="22"/>
          <w:szCs w:val="22"/>
          <w:lang w:eastAsia="en-US"/>
        </w:rPr>
        <w:t xml:space="preserve"> (podíl/počet)</w:t>
      </w:r>
    </w:p>
    <w:p w14:paraId="08E29E01" w14:textId="77777777" w:rsidR="007C221F" w:rsidRDefault="007C221F" w:rsidP="002E3D22">
      <w:pPr>
        <w:spacing w:line="264" w:lineRule="auto"/>
        <w:jc w:val="both"/>
        <w:rPr>
          <w:rFonts w:ascii="Arial" w:eastAsiaTheme="minorHAnsi" w:hAnsi="Arial" w:cs="Arial"/>
          <w:sz w:val="22"/>
          <w:szCs w:val="22"/>
          <w:lang w:eastAsia="en-US"/>
        </w:rPr>
      </w:pPr>
    </w:p>
    <w:p w14:paraId="7A6E88EF" w14:textId="3E4A6322" w:rsidR="007F3DD4" w:rsidRPr="00E12009" w:rsidRDefault="007C221F" w:rsidP="007C221F">
      <w:pPr>
        <w:spacing w:line="264" w:lineRule="auto"/>
        <w:jc w:val="center"/>
        <w:rPr>
          <w:rFonts w:ascii="Arial" w:eastAsiaTheme="minorHAnsi" w:hAnsi="Arial" w:cs="Arial"/>
          <w:sz w:val="22"/>
          <w:szCs w:val="22"/>
          <w:lang w:eastAsia="en-US"/>
        </w:rPr>
      </w:pPr>
      <w:r>
        <w:rPr>
          <w:noProof/>
        </w:rPr>
        <w:drawing>
          <wp:inline distT="0" distB="0" distL="0" distR="0" wp14:anchorId="46C9DDA7" wp14:editId="5AD91E98">
            <wp:extent cx="2798767" cy="2352675"/>
            <wp:effectExtent l="0" t="0" r="1905" b="0"/>
            <wp:docPr id="898529638" name="Obrázek 1" descr="Obsah obrázku text, logo, kruh, Písmo&#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529638" name="Obrázek 1" descr="Obsah obrázku text, logo, kruh, Písmo&#10;&#10;Obsah generovaný pomocí AI může být nesprávný."/>
                    <pic:cNvPicPr/>
                  </pic:nvPicPr>
                  <pic:blipFill>
                    <a:blip r:embed="rId8"/>
                    <a:stretch>
                      <a:fillRect/>
                    </a:stretch>
                  </pic:blipFill>
                  <pic:spPr>
                    <a:xfrm>
                      <a:off x="0" y="0"/>
                      <a:ext cx="2812329" cy="2364075"/>
                    </a:xfrm>
                    <a:prstGeom prst="rect">
                      <a:avLst/>
                    </a:prstGeom>
                  </pic:spPr>
                </pic:pic>
              </a:graphicData>
            </a:graphic>
          </wp:inline>
        </w:drawing>
      </w:r>
    </w:p>
    <w:p w14:paraId="6A0F134A" w14:textId="77777777" w:rsidR="002E3D22" w:rsidRDefault="002E3D22" w:rsidP="000C7664">
      <w:pPr>
        <w:spacing w:line="264" w:lineRule="auto"/>
        <w:jc w:val="both"/>
        <w:rPr>
          <w:rFonts w:ascii="Arial" w:eastAsiaTheme="minorHAnsi" w:hAnsi="Arial" w:cs="Arial"/>
          <w:sz w:val="22"/>
          <w:szCs w:val="22"/>
          <w:lang w:eastAsia="en-US"/>
        </w:rPr>
      </w:pPr>
    </w:p>
    <w:p w14:paraId="506E4CFE" w14:textId="3E58A718" w:rsidR="000C7664" w:rsidRPr="007734DF" w:rsidRDefault="007734DF" w:rsidP="000C7664">
      <w:pPr>
        <w:spacing w:line="264" w:lineRule="auto"/>
        <w:jc w:val="both"/>
        <w:rPr>
          <w:rFonts w:ascii="Arial" w:eastAsiaTheme="minorHAnsi" w:hAnsi="Arial" w:cs="Arial"/>
          <w:b/>
          <w:bCs/>
          <w:sz w:val="22"/>
          <w:szCs w:val="22"/>
          <w:lang w:eastAsia="en-US"/>
        </w:rPr>
      </w:pPr>
      <w:r w:rsidRPr="007734DF">
        <w:rPr>
          <w:rFonts w:ascii="Arial" w:eastAsiaTheme="minorHAnsi" w:hAnsi="Arial" w:cs="Arial"/>
          <w:sz w:val="22"/>
          <w:szCs w:val="22"/>
          <w:lang w:eastAsia="en-US"/>
        </w:rPr>
        <w:t>Při metodicky běžně používaném přístupu, kdy se částečně splněná opatření započítávají s</w:t>
      </w:r>
      <w:r>
        <w:rPr>
          <w:rFonts w:ascii="Arial" w:eastAsiaTheme="minorHAnsi" w:hAnsi="Arial" w:cs="Arial"/>
          <w:sz w:val="22"/>
          <w:szCs w:val="22"/>
          <w:lang w:eastAsia="en-US"/>
        </w:rPr>
        <w:t> </w:t>
      </w:r>
      <w:r w:rsidRPr="007734DF">
        <w:rPr>
          <w:rFonts w:ascii="Arial" w:eastAsiaTheme="minorHAnsi" w:hAnsi="Arial" w:cs="Arial"/>
          <w:sz w:val="22"/>
          <w:szCs w:val="22"/>
          <w:lang w:eastAsia="en-US"/>
        </w:rPr>
        <w:t xml:space="preserve">váhou 50 %, dosahuje </w:t>
      </w:r>
      <w:r w:rsidRPr="007734DF">
        <w:rPr>
          <w:rFonts w:ascii="Arial" w:eastAsiaTheme="minorHAnsi" w:hAnsi="Arial" w:cs="Arial"/>
          <w:b/>
          <w:bCs/>
          <w:sz w:val="22"/>
          <w:szCs w:val="22"/>
          <w:lang w:eastAsia="en-US"/>
        </w:rPr>
        <w:t>celková míra naplnění Koncepce IS VaVaI hodnoty 73,5 %</w:t>
      </w:r>
      <w:r w:rsidRPr="007734DF">
        <w:rPr>
          <w:rFonts w:ascii="Arial" w:eastAsiaTheme="minorHAnsi" w:hAnsi="Arial" w:cs="Arial"/>
          <w:sz w:val="22"/>
          <w:szCs w:val="22"/>
          <w:lang w:eastAsia="en-US"/>
        </w:rPr>
        <w:t xml:space="preserve">. </w:t>
      </w:r>
    </w:p>
    <w:p w14:paraId="328C95A0" w14:textId="77777777" w:rsidR="000C7664" w:rsidRDefault="000C7664" w:rsidP="000C7664">
      <w:pPr>
        <w:spacing w:line="264" w:lineRule="auto"/>
        <w:jc w:val="both"/>
        <w:rPr>
          <w:rFonts w:ascii="Arial" w:eastAsiaTheme="minorHAnsi" w:hAnsi="Arial" w:cs="Arial"/>
          <w:sz w:val="22"/>
          <w:szCs w:val="22"/>
          <w:lang w:eastAsia="en-US"/>
        </w:rPr>
      </w:pPr>
    </w:p>
    <w:p w14:paraId="0DD945DD" w14:textId="62148C66" w:rsidR="00522ED6" w:rsidRDefault="00902BD2" w:rsidP="00063165">
      <w:pPr>
        <w:spacing w:line="264" w:lineRule="auto"/>
        <w:jc w:val="both"/>
        <w:rPr>
          <w:rFonts w:ascii="Arial" w:eastAsiaTheme="minorHAnsi" w:hAnsi="Arial" w:cs="Arial"/>
          <w:sz w:val="22"/>
          <w:szCs w:val="22"/>
          <w:lang w:eastAsia="en-US"/>
        </w:rPr>
      </w:pPr>
      <w:r w:rsidRPr="00E12009">
        <w:rPr>
          <w:rFonts w:ascii="Arial" w:eastAsiaTheme="minorHAnsi" w:hAnsi="Arial" w:cs="Arial"/>
          <w:sz w:val="22"/>
          <w:szCs w:val="22"/>
          <w:lang w:eastAsia="en-US"/>
        </w:rPr>
        <w:lastRenderedPageBreak/>
        <w:t xml:space="preserve">Dosažená míra plnění potvrzuje, že </w:t>
      </w:r>
      <w:r w:rsidRPr="00902BD2">
        <w:rPr>
          <w:rFonts w:ascii="Arial" w:eastAsiaTheme="minorHAnsi" w:hAnsi="Arial" w:cs="Arial"/>
          <w:b/>
          <w:bCs/>
          <w:sz w:val="22"/>
          <w:szCs w:val="22"/>
          <w:lang w:eastAsia="en-US"/>
        </w:rPr>
        <w:t>Koncepce IS VaVaI 2021–2025 byla realizována systematicky a s důrazem na opatření s nejvyšší přidanou hodnotou pro veřejnou správu</w:t>
      </w:r>
      <w:r w:rsidRPr="00E12009">
        <w:rPr>
          <w:rFonts w:ascii="Arial" w:eastAsiaTheme="minorHAnsi" w:hAnsi="Arial" w:cs="Arial"/>
          <w:sz w:val="22"/>
          <w:szCs w:val="22"/>
          <w:lang w:eastAsia="en-US"/>
        </w:rPr>
        <w:t xml:space="preserve">. Převaha plně a částečně splněných opatření dokládá, že </w:t>
      </w:r>
      <w:r w:rsidRPr="00902BD2">
        <w:rPr>
          <w:rFonts w:ascii="Arial" w:eastAsiaTheme="minorHAnsi" w:hAnsi="Arial" w:cs="Arial"/>
          <w:b/>
          <w:bCs/>
          <w:sz w:val="22"/>
          <w:szCs w:val="22"/>
          <w:lang w:eastAsia="en-US"/>
        </w:rPr>
        <w:t>strategické cíle koncepce byly naplněny v rozhodujících oblastech, zejména v oblasti datové kvality, bezpečnosti, analytické podpory a provozní stability systému</w:t>
      </w:r>
      <w:r w:rsidRPr="00E12009">
        <w:rPr>
          <w:rFonts w:ascii="Arial" w:eastAsiaTheme="minorHAnsi" w:hAnsi="Arial" w:cs="Arial"/>
          <w:sz w:val="22"/>
          <w:szCs w:val="22"/>
          <w:lang w:eastAsia="en-US"/>
        </w:rPr>
        <w:t>.</w:t>
      </w:r>
      <w:r w:rsidR="002E3D22" w:rsidRPr="002E3D22">
        <w:rPr>
          <w:rFonts w:ascii="Arial" w:eastAsiaTheme="minorHAnsi" w:hAnsi="Arial" w:cs="Arial"/>
          <w:sz w:val="22"/>
          <w:szCs w:val="22"/>
          <w:lang w:eastAsia="en-US"/>
        </w:rPr>
        <w:t xml:space="preserve"> </w:t>
      </w:r>
      <w:r w:rsidR="002E3D22" w:rsidRPr="007734DF">
        <w:rPr>
          <w:rFonts w:ascii="Arial" w:eastAsiaTheme="minorHAnsi" w:hAnsi="Arial" w:cs="Arial"/>
          <w:sz w:val="22"/>
          <w:szCs w:val="22"/>
          <w:lang w:eastAsia="en-US"/>
        </w:rPr>
        <w:t>Tento výsledek lze</w:t>
      </w:r>
      <w:r w:rsidR="002E3D22">
        <w:rPr>
          <w:rFonts w:ascii="Arial" w:eastAsiaTheme="minorHAnsi" w:hAnsi="Arial" w:cs="Arial"/>
          <w:sz w:val="22"/>
          <w:szCs w:val="22"/>
          <w:lang w:eastAsia="en-US"/>
        </w:rPr>
        <w:t> </w:t>
      </w:r>
      <w:r w:rsidR="002E3D22" w:rsidRPr="007734DF">
        <w:rPr>
          <w:rFonts w:ascii="Arial" w:eastAsiaTheme="minorHAnsi" w:hAnsi="Arial" w:cs="Arial"/>
          <w:sz w:val="22"/>
          <w:szCs w:val="22"/>
          <w:lang w:eastAsia="en-US"/>
        </w:rPr>
        <w:t>s</w:t>
      </w:r>
      <w:r w:rsidR="002E3D22">
        <w:rPr>
          <w:rFonts w:ascii="Arial" w:eastAsiaTheme="minorHAnsi" w:hAnsi="Arial" w:cs="Arial"/>
          <w:sz w:val="22"/>
          <w:szCs w:val="22"/>
          <w:lang w:eastAsia="en-US"/>
        </w:rPr>
        <w:t> </w:t>
      </w:r>
      <w:r w:rsidR="002E3D22" w:rsidRPr="007734DF">
        <w:rPr>
          <w:rFonts w:ascii="Arial" w:eastAsiaTheme="minorHAnsi" w:hAnsi="Arial" w:cs="Arial"/>
          <w:sz w:val="22"/>
          <w:szCs w:val="22"/>
          <w:lang w:eastAsia="en-US"/>
        </w:rPr>
        <w:t>ohledem na rozsah, komplexnost a délku trvání koncepce hodnotit jako velmi solidní a</w:t>
      </w:r>
      <w:r w:rsidR="002E3D22">
        <w:rPr>
          <w:rFonts w:ascii="Arial" w:eastAsiaTheme="minorHAnsi" w:hAnsi="Arial" w:cs="Arial"/>
          <w:sz w:val="22"/>
          <w:szCs w:val="22"/>
          <w:lang w:eastAsia="en-US"/>
        </w:rPr>
        <w:t> </w:t>
      </w:r>
      <w:r w:rsidR="002E3D22" w:rsidRPr="007734DF">
        <w:rPr>
          <w:rFonts w:ascii="Arial" w:eastAsiaTheme="minorHAnsi" w:hAnsi="Arial" w:cs="Arial"/>
          <w:sz w:val="22"/>
          <w:szCs w:val="22"/>
          <w:lang w:eastAsia="en-US"/>
        </w:rPr>
        <w:t>nadprůměrný.</w:t>
      </w:r>
    </w:p>
    <w:p w14:paraId="4375A2EA" w14:textId="77777777" w:rsidR="00063165" w:rsidRDefault="00063165" w:rsidP="00063165">
      <w:pPr>
        <w:spacing w:line="264" w:lineRule="auto"/>
        <w:jc w:val="both"/>
        <w:rPr>
          <w:rFonts w:ascii="Arial" w:eastAsiaTheme="minorHAnsi" w:hAnsi="Arial" w:cs="Arial"/>
          <w:b/>
          <w:bCs/>
          <w:color w:val="4F81BD" w:themeColor="accent1"/>
          <w:lang w:eastAsia="en-US"/>
        </w:rPr>
      </w:pPr>
    </w:p>
    <w:p w14:paraId="52D32D25" w14:textId="7830F0A8" w:rsidR="00522ED6" w:rsidRDefault="00453DFB" w:rsidP="00E12009">
      <w:pPr>
        <w:spacing w:line="264" w:lineRule="auto"/>
        <w:jc w:val="both"/>
        <w:rPr>
          <w:rFonts w:ascii="Arial" w:eastAsiaTheme="minorHAnsi" w:hAnsi="Arial" w:cs="Arial"/>
          <w:b/>
          <w:bCs/>
          <w:color w:val="4F81BD" w:themeColor="accent1"/>
          <w:lang w:eastAsia="en-US"/>
        </w:rPr>
      </w:pPr>
      <w:r>
        <w:rPr>
          <w:rFonts w:ascii="Arial" w:eastAsiaTheme="minorHAnsi" w:hAnsi="Arial" w:cs="Arial"/>
          <w:b/>
          <w:bCs/>
          <w:color w:val="4F81BD" w:themeColor="accent1"/>
          <w:lang w:eastAsia="en-US"/>
        </w:rPr>
        <w:t>3</w:t>
      </w:r>
      <w:r w:rsidR="00E12009">
        <w:rPr>
          <w:rFonts w:ascii="Arial" w:eastAsiaTheme="minorHAnsi" w:hAnsi="Arial" w:cs="Arial"/>
          <w:b/>
          <w:bCs/>
          <w:color w:val="4F81BD" w:themeColor="accent1"/>
          <w:lang w:eastAsia="en-US"/>
        </w:rPr>
        <w:t xml:space="preserve">. </w:t>
      </w:r>
      <w:r w:rsidR="00E12009" w:rsidRPr="00E12009">
        <w:rPr>
          <w:rFonts w:ascii="Arial" w:eastAsiaTheme="minorHAnsi" w:hAnsi="Arial" w:cs="Arial"/>
          <w:b/>
          <w:bCs/>
          <w:color w:val="4F81BD" w:themeColor="accent1"/>
          <w:lang w:eastAsia="en-US"/>
        </w:rPr>
        <w:t xml:space="preserve">Vyhodnocení </w:t>
      </w:r>
      <w:r w:rsidR="00F96CF7">
        <w:rPr>
          <w:rFonts w:ascii="Arial" w:eastAsiaTheme="minorHAnsi" w:hAnsi="Arial" w:cs="Arial"/>
          <w:b/>
          <w:bCs/>
          <w:color w:val="4F81BD" w:themeColor="accent1"/>
          <w:lang w:eastAsia="en-US"/>
        </w:rPr>
        <w:t xml:space="preserve">plnění Koncepce IS VaVaI 2021–2025 </w:t>
      </w:r>
      <w:r w:rsidR="00E12009" w:rsidRPr="00E12009">
        <w:rPr>
          <w:rFonts w:ascii="Arial" w:eastAsiaTheme="minorHAnsi" w:hAnsi="Arial" w:cs="Arial"/>
          <w:b/>
          <w:bCs/>
          <w:color w:val="4F81BD" w:themeColor="accent1"/>
          <w:lang w:eastAsia="en-US"/>
        </w:rPr>
        <w:t>dle strategických oblastí</w:t>
      </w:r>
    </w:p>
    <w:p w14:paraId="2E92246A" w14:textId="77777777" w:rsidR="00522ED6" w:rsidRPr="00E562D3" w:rsidRDefault="00522ED6" w:rsidP="00E12009">
      <w:pPr>
        <w:spacing w:line="264" w:lineRule="auto"/>
        <w:jc w:val="both"/>
        <w:rPr>
          <w:rFonts w:ascii="Arial" w:eastAsiaTheme="minorHAnsi" w:hAnsi="Arial" w:cs="Arial"/>
          <w:b/>
          <w:bCs/>
          <w:color w:val="4F81BD" w:themeColor="accent1"/>
          <w:sz w:val="22"/>
          <w:szCs w:val="22"/>
          <w:lang w:eastAsia="en-US"/>
        </w:rPr>
      </w:pPr>
    </w:p>
    <w:p w14:paraId="227309BF" w14:textId="5C7332AD" w:rsidR="00E70D2C" w:rsidRDefault="00E70D2C" w:rsidP="000C1895">
      <w:pPr>
        <w:spacing w:line="264" w:lineRule="auto"/>
        <w:jc w:val="both"/>
        <w:rPr>
          <w:rFonts w:ascii="Arial" w:eastAsiaTheme="minorHAnsi" w:hAnsi="Arial" w:cs="Arial"/>
          <w:sz w:val="22"/>
          <w:szCs w:val="22"/>
          <w:lang w:eastAsia="en-US"/>
        </w:rPr>
      </w:pPr>
      <w:r w:rsidRPr="00E70D2C">
        <w:rPr>
          <w:rFonts w:ascii="Arial" w:eastAsiaTheme="minorHAnsi" w:hAnsi="Arial" w:cs="Arial"/>
          <w:sz w:val="22"/>
          <w:szCs w:val="22"/>
          <w:lang w:eastAsia="en-US"/>
        </w:rPr>
        <w:t>Vyhodnocení Koncepce IS VaVaI 2021–2025 dle strategických oblastí poskytuje detailní pohled na míru naplnění jednotlivých tematických pilířů koncepce a umožňuje identifikovat oblasti s nejvyšší přidanou hodnotou i oblasti, jejichž realizace byla ovlivněna externími či</w:t>
      </w:r>
      <w:r>
        <w:rPr>
          <w:rFonts w:ascii="Arial" w:eastAsiaTheme="minorHAnsi" w:hAnsi="Arial" w:cs="Arial"/>
          <w:sz w:val="22"/>
          <w:szCs w:val="22"/>
          <w:lang w:eastAsia="en-US"/>
        </w:rPr>
        <w:t> </w:t>
      </w:r>
      <w:r w:rsidRPr="00E70D2C">
        <w:rPr>
          <w:rFonts w:ascii="Arial" w:eastAsiaTheme="minorHAnsi" w:hAnsi="Arial" w:cs="Arial"/>
          <w:sz w:val="22"/>
          <w:szCs w:val="22"/>
          <w:lang w:eastAsia="en-US"/>
        </w:rPr>
        <w:t>kapacitními faktory. Hodnocení vychází ze stavu plnění monitorovacích indikátorů přiřazených ke každé strategické oblasti a zohledňuje jak absolutní míru jejich splnění, tak</w:t>
      </w:r>
      <w:r>
        <w:rPr>
          <w:rFonts w:ascii="Arial" w:eastAsiaTheme="minorHAnsi" w:hAnsi="Arial" w:cs="Arial"/>
          <w:sz w:val="22"/>
          <w:szCs w:val="22"/>
          <w:lang w:eastAsia="en-US"/>
        </w:rPr>
        <w:t> </w:t>
      </w:r>
      <w:r w:rsidRPr="00E70D2C">
        <w:rPr>
          <w:rFonts w:ascii="Arial" w:eastAsiaTheme="minorHAnsi" w:hAnsi="Arial" w:cs="Arial"/>
          <w:sz w:val="22"/>
          <w:szCs w:val="22"/>
          <w:lang w:eastAsia="en-US"/>
        </w:rPr>
        <w:t>i</w:t>
      </w:r>
      <w:r>
        <w:rPr>
          <w:rFonts w:ascii="Arial" w:eastAsiaTheme="minorHAnsi" w:hAnsi="Arial" w:cs="Arial"/>
          <w:sz w:val="22"/>
          <w:szCs w:val="22"/>
          <w:lang w:eastAsia="en-US"/>
        </w:rPr>
        <w:t> </w:t>
      </w:r>
      <w:r w:rsidRPr="00E70D2C">
        <w:rPr>
          <w:rFonts w:ascii="Arial" w:eastAsiaTheme="minorHAnsi" w:hAnsi="Arial" w:cs="Arial"/>
          <w:sz w:val="22"/>
          <w:szCs w:val="22"/>
          <w:lang w:eastAsia="en-US"/>
        </w:rPr>
        <w:t>vážené plnění podle stanovených priorit.</w:t>
      </w:r>
    </w:p>
    <w:p w14:paraId="0B01F799" w14:textId="77777777" w:rsidR="00E70D2C" w:rsidRPr="00E70D2C" w:rsidRDefault="00E70D2C" w:rsidP="000C1895">
      <w:pPr>
        <w:spacing w:line="264" w:lineRule="auto"/>
        <w:jc w:val="both"/>
        <w:rPr>
          <w:rFonts w:ascii="Arial" w:eastAsiaTheme="minorHAnsi" w:hAnsi="Arial" w:cs="Arial"/>
          <w:sz w:val="22"/>
          <w:szCs w:val="22"/>
          <w:lang w:eastAsia="en-US"/>
        </w:rPr>
      </w:pPr>
    </w:p>
    <w:p w14:paraId="0A8DEEF4" w14:textId="3E991DD8" w:rsidR="00522ED6" w:rsidRDefault="00522ED6" w:rsidP="00E12009">
      <w:pPr>
        <w:spacing w:line="264" w:lineRule="auto"/>
        <w:jc w:val="both"/>
        <w:rPr>
          <w:rFonts w:ascii="Arial" w:eastAsiaTheme="minorHAnsi" w:hAnsi="Arial" w:cs="Arial"/>
          <w:sz w:val="22"/>
          <w:szCs w:val="22"/>
          <w:lang w:eastAsia="en-US"/>
        </w:rPr>
      </w:pPr>
      <w:r w:rsidRPr="00E562D3">
        <w:rPr>
          <w:rFonts w:ascii="Arial" w:eastAsiaTheme="minorHAnsi" w:hAnsi="Arial" w:cs="Arial"/>
          <w:b/>
          <w:bCs/>
          <w:sz w:val="22"/>
          <w:szCs w:val="22"/>
          <w:lang w:eastAsia="en-US"/>
        </w:rPr>
        <w:t xml:space="preserve">Graf č. </w:t>
      </w:r>
      <w:r w:rsidR="009134F0">
        <w:rPr>
          <w:rFonts w:ascii="Arial" w:eastAsiaTheme="minorHAnsi" w:hAnsi="Arial" w:cs="Arial"/>
          <w:b/>
          <w:bCs/>
          <w:sz w:val="22"/>
          <w:szCs w:val="22"/>
          <w:lang w:eastAsia="en-US"/>
        </w:rPr>
        <w:t>2</w:t>
      </w:r>
      <w:r w:rsidRPr="00E562D3">
        <w:rPr>
          <w:rFonts w:ascii="Arial" w:eastAsiaTheme="minorHAnsi" w:hAnsi="Arial" w:cs="Arial"/>
          <w:sz w:val="22"/>
          <w:szCs w:val="22"/>
          <w:lang w:eastAsia="en-US"/>
        </w:rPr>
        <w:t>: Vážené plnění Koncepce IS VaVaI podle strategických oblastí</w:t>
      </w:r>
    </w:p>
    <w:p w14:paraId="5D6D107F" w14:textId="77777777" w:rsidR="007F3147" w:rsidRPr="00E562D3" w:rsidRDefault="007F3147" w:rsidP="00E12009">
      <w:pPr>
        <w:spacing w:line="264" w:lineRule="auto"/>
        <w:jc w:val="both"/>
        <w:rPr>
          <w:rFonts w:ascii="Arial" w:eastAsiaTheme="minorHAnsi" w:hAnsi="Arial" w:cs="Arial"/>
          <w:sz w:val="22"/>
          <w:szCs w:val="22"/>
          <w:lang w:eastAsia="en-US"/>
        </w:rPr>
      </w:pPr>
    </w:p>
    <w:p w14:paraId="79E200FD" w14:textId="60FA822D" w:rsidR="00E12009" w:rsidRPr="00E12009" w:rsidRDefault="00522ED6" w:rsidP="00E12009">
      <w:pPr>
        <w:spacing w:line="264" w:lineRule="auto"/>
        <w:jc w:val="both"/>
        <w:rPr>
          <w:rFonts w:ascii="Arial" w:eastAsiaTheme="minorHAnsi" w:hAnsi="Arial" w:cs="Arial"/>
          <w:b/>
          <w:bCs/>
          <w:color w:val="4F81BD" w:themeColor="accent1"/>
          <w:lang w:eastAsia="en-US"/>
        </w:rPr>
      </w:pPr>
      <w:r w:rsidRPr="00522ED6">
        <w:rPr>
          <w:rFonts w:ascii="Arial" w:eastAsiaTheme="minorHAnsi" w:hAnsi="Arial" w:cs="Arial"/>
          <w:b/>
          <w:bCs/>
          <w:noProof/>
          <w:color w:val="4F81BD" w:themeColor="accent1"/>
          <w:lang w:eastAsia="en-US"/>
        </w:rPr>
        <w:drawing>
          <wp:inline distT="0" distB="0" distL="0" distR="0" wp14:anchorId="0560D470" wp14:editId="3FBF2383">
            <wp:extent cx="5760720" cy="2695575"/>
            <wp:effectExtent l="0" t="0" r="0" b="9525"/>
            <wp:docPr id="1176205953" name="Obrázek 1" descr="Obsah obrázku text, snímek obrazovky, řada/pruh, Vykreslený graf&#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205953" name="Obrázek 1" descr="Obsah obrázku text, snímek obrazovky, řada/pruh, Vykreslený graf&#10;&#10;Obsah generovaný pomocí AI může být nesprávný."/>
                    <pic:cNvPicPr/>
                  </pic:nvPicPr>
                  <pic:blipFill>
                    <a:blip r:embed="rId9"/>
                    <a:stretch>
                      <a:fillRect/>
                    </a:stretch>
                  </pic:blipFill>
                  <pic:spPr>
                    <a:xfrm>
                      <a:off x="0" y="0"/>
                      <a:ext cx="5760720" cy="2695575"/>
                    </a:xfrm>
                    <a:prstGeom prst="rect">
                      <a:avLst/>
                    </a:prstGeom>
                  </pic:spPr>
                </pic:pic>
              </a:graphicData>
            </a:graphic>
          </wp:inline>
        </w:drawing>
      </w:r>
    </w:p>
    <w:p w14:paraId="4DAAC851" w14:textId="22720043" w:rsidR="00683696" w:rsidRPr="00683696" w:rsidRDefault="00683696" w:rsidP="00683696">
      <w:pPr>
        <w:spacing w:line="264" w:lineRule="auto"/>
        <w:jc w:val="both"/>
        <w:rPr>
          <w:rFonts w:ascii="Arial" w:eastAsiaTheme="minorHAnsi" w:hAnsi="Arial" w:cs="Arial"/>
          <w:sz w:val="22"/>
          <w:szCs w:val="22"/>
          <w:lang w:eastAsia="en-US"/>
        </w:rPr>
      </w:pPr>
      <w:r w:rsidRPr="00683696">
        <w:rPr>
          <w:rFonts w:ascii="Arial" w:eastAsiaTheme="minorHAnsi" w:hAnsi="Arial" w:cs="Arial"/>
          <w:sz w:val="22"/>
          <w:szCs w:val="22"/>
          <w:lang w:eastAsia="en-US"/>
        </w:rPr>
        <w:t xml:space="preserve">Z pohledu jednotlivých strategických oblastí bylo plného nebo téměř plného naplnění dosaženo zejména v oblastech </w:t>
      </w:r>
      <w:r w:rsidRPr="00683696">
        <w:rPr>
          <w:rFonts w:ascii="Arial" w:eastAsiaTheme="minorHAnsi" w:hAnsi="Arial" w:cs="Arial"/>
          <w:b/>
          <w:bCs/>
          <w:sz w:val="22"/>
          <w:szCs w:val="22"/>
          <w:lang w:eastAsia="en-US"/>
        </w:rPr>
        <w:t>datového modelu a datových struktur</w:t>
      </w:r>
      <w:r w:rsidRPr="00683696">
        <w:rPr>
          <w:rFonts w:ascii="Arial" w:eastAsiaTheme="minorHAnsi" w:hAnsi="Arial" w:cs="Arial"/>
          <w:sz w:val="22"/>
          <w:szCs w:val="22"/>
          <w:lang w:eastAsia="en-US"/>
        </w:rPr>
        <w:t xml:space="preserve"> (vážené plnění </w:t>
      </w:r>
      <w:r w:rsidRPr="00683696">
        <w:rPr>
          <w:rFonts w:ascii="Arial" w:eastAsiaTheme="minorHAnsi" w:hAnsi="Arial" w:cs="Arial"/>
          <w:b/>
          <w:bCs/>
          <w:sz w:val="22"/>
          <w:szCs w:val="22"/>
          <w:lang w:eastAsia="en-US"/>
        </w:rPr>
        <w:t>95,8</w:t>
      </w:r>
      <w:r w:rsidR="00635056">
        <w:rPr>
          <w:rFonts w:ascii="Arial" w:eastAsiaTheme="minorHAnsi" w:hAnsi="Arial" w:cs="Arial"/>
          <w:b/>
          <w:bCs/>
          <w:sz w:val="22"/>
          <w:szCs w:val="22"/>
          <w:lang w:eastAsia="en-US"/>
        </w:rPr>
        <w:t> </w:t>
      </w:r>
      <w:r w:rsidRPr="00683696">
        <w:rPr>
          <w:rFonts w:ascii="Arial" w:eastAsiaTheme="minorHAnsi" w:hAnsi="Arial" w:cs="Arial"/>
          <w:b/>
          <w:bCs/>
          <w:sz w:val="22"/>
          <w:szCs w:val="22"/>
          <w:lang w:eastAsia="en-US"/>
        </w:rPr>
        <w:t>%</w:t>
      </w:r>
      <w:r w:rsidRPr="00683696">
        <w:rPr>
          <w:rFonts w:ascii="Arial" w:eastAsiaTheme="minorHAnsi" w:hAnsi="Arial" w:cs="Arial"/>
          <w:sz w:val="22"/>
          <w:szCs w:val="22"/>
          <w:lang w:eastAsia="en-US"/>
        </w:rPr>
        <w:t xml:space="preserve">), </w:t>
      </w:r>
      <w:r w:rsidRPr="00683696">
        <w:rPr>
          <w:rFonts w:ascii="Arial" w:eastAsiaTheme="minorHAnsi" w:hAnsi="Arial" w:cs="Arial"/>
          <w:b/>
          <w:bCs/>
          <w:sz w:val="22"/>
          <w:szCs w:val="22"/>
          <w:lang w:eastAsia="en-US"/>
        </w:rPr>
        <w:t xml:space="preserve">uživatelských rozhraní a podpory </w:t>
      </w:r>
      <w:r w:rsidRPr="00683696">
        <w:rPr>
          <w:rFonts w:ascii="Arial" w:eastAsiaTheme="minorHAnsi" w:hAnsi="Arial" w:cs="Arial"/>
          <w:sz w:val="22"/>
          <w:szCs w:val="22"/>
          <w:lang w:eastAsia="en-US"/>
        </w:rPr>
        <w:t>(</w:t>
      </w:r>
      <w:r w:rsidRPr="00683696">
        <w:rPr>
          <w:rFonts w:ascii="Arial" w:eastAsiaTheme="minorHAnsi" w:hAnsi="Arial" w:cs="Arial"/>
          <w:b/>
          <w:bCs/>
          <w:sz w:val="22"/>
          <w:szCs w:val="22"/>
          <w:lang w:eastAsia="en-US"/>
        </w:rPr>
        <w:t>87,5 %</w:t>
      </w:r>
      <w:r w:rsidRPr="00683696">
        <w:rPr>
          <w:rFonts w:ascii="Arial" w:eastAsiaTheme="minorHAnsi" w:hAnsi="Arial" w:cs="Arial"/>
          <w:sz w:val="22"/>
          <w:szCs w:val="22"/>
          <w:lang w:eastAsia="en-US"/>
        </w:rPr>
        <w:t xml:space="preserve">), </w:t>
      </w:r>
      <w:r w:rsidRPr="00683696">
        <w:rPr>
          <w:rFonts w:ascii="Arial" w:eastAsiaTheme="minorHAnsi" w:hAnsi="Arial" w:cs="Arial"/>
          <w:b/>
          <w:bCs/>
          <w:sz w:val="22"/>
          <w:szCs w:val="22"/>
          <w:lang w:eastAsia="en-US"/>
        </w:rPr>
        <w:t>důvěryhodnosti a bezpečnosti dat</w:t>
      </w:r>
      <w:r w:rsidRPr="00683696">
        <w:rPr>
          <w:rFonts w:ascii="Arial" w:eastAsiaTheme="minorHAnsi" w:hAnsi="Arial" w:cs="Arial"/>
          <w:sz w:val="22"/>
          <w:szCs w:val="22"/>
          <w:lang w:eastAsia="en-US"/>
        </w:rPr>
        <w:t xml:space="preserve"> (</w:t>
      </w:r>
      <w:r w:rsidRPr="00683696">
        <w:rPr>
          <w:rFonts w:ascii="Arial" w:eastAsiaTheme="minorHAnsi" w:hAnsi="Arial" w:cs="Arial"/>
          <w:b/>
          <w:bCs/>
          <w:sz w:val="22"/>
          <w:szCs w:val="22"/>
          <w:lang w:eastAsia="en-US"/>
        </w:rPr>
        <w:t>100 %</w:t>
      </w:r>
      <w:r w:rsidRPr="00683696">
        <w:rPr>
          <w:rFonts w:ascii="Arial" w:eastAsiaTheme="minorHAnsi" w:hAnsi="Arial" w:cs="Arial"/>
          <w:sz w:val="22"/>
          <w:szCs w:val="22"/>
          <w:lang w:eastAsia="en-US"/>
        </w:rPr>
        <w:t xml:space="preserve">), </w:t>
      </w:r>
      <w:r w:rsidRPr="00683696">
        <w:rPr>
          <w:rFonts w:ascii="Arial" w:eastAsiaTheme="minorHAnsi" w:hAnsi="Arial" w:cs="Arial"/>
          <w:b/>
          <w:bCs/>
          <w:sz w:val="22"/>
          <w:szCs w:val="22"/>
          <w:lang w:eastAsia="en-US"/>
        </w:rPr>
        <w:t>vývoje, údržby a provozu IS VaVaI</w:t>
      </w:r>
      <w:r w:rsidRPr="00683696">
        <w:rPr>
          <w:rFonts w:ascii="Arial" w:eastAsiaTheme="minorHAnsi" w:hAnsi="Arial" w:cs="Arial"/>
          <w:sz w:val="22"/>
          <w:szCs w:val="22"/>
          <w:lang w:eastAsia="en-US"/>
        </w:rPr>
        <w:t xml:space="preserve"> (</w:t>
      </w:r>
      <w:r w:rsidRPr="00683696">
        <w:rPr>
          <w:rFonts w:ascii="Arial" w:eastAsiaTheme="minorHAnsi" w:hAnsi="Arial" w:cs="Arial"/>
          <w:b/>
          <w:bCs/>
          <w:sz w:val="22"/>
          <w:szCs w:val="22"/>
          <w:lang w:eastAsia="en-US"/>
        </w:rPr>
        <w:t>100 %</w:t>
      </w:r>
      <w:r w:rsidRPr="00683696">
        <w:rPr>
          <w:rFonts w:ascii="Arial" w:eastAsiaTheme="minorHAnsi" w:hAnsi="Arial" w:cs="Arial"/>
          <w:sz w:val="22"/>
          <w:szCs w:val="22"/>
          <w:lang w:eastAsia="en-US"/>
        </w:rPr>
        <w:t xml:space="preserve">) a </w:t>
      </w:r>
      <w:r w:rsidRPr="00683696">
        <w:rPr>
          <w:rFonts w:ascii="Arial" w:eastAsiaTheme="minorHAnsi" w:hAnsi="Arial" w:cs="Arial"/>
          <w:b/>
          <w:bCs/>
          <w:sz w:val="22"/>
          <w:szCs w:val="22"/>
          <w:lang w:eastAsia="en-US"/>
        </w:rPr>
        <w:t>legislativní oblasti</w:t>
      </w:r>
      <w:r w:rsidRPr="00683696">
        <w:rPr>
          <w:rFonts w:ascii="Arial" w:eastAsiaTheme="minorHAnsi" w:hAnsi="Arial" w:cs="Arial"/>
          <w:sz w:val="22"/>
          <w:szCs w:val="22"/>
          <w:lang w:eastAsia="en-US"/>
        </w:rPr>
        <w:t xml:space="preserve"> (</w:t>
      </w:r>
      <w:r w:rsidRPr="00683696">
        <w:rPr>
          <w:rFonts w:ascii="Arial" w:eastAsiaTheme="minorHAnsi" w:hAnsi="Arial" w:cs="Arial"/>
          <w:b/>
          <w:bCs/>
          <w:sz w:val="22"/>
          <w:szCs w:val="22"/>
          <w:lang w:eastAsia="en-US"/>
        </w:rPr>
        <w:t>100 %</w:t>
      </w:r>
      <w:r w:rsidRPr="00683696">
        <w:rPr>
          <w:rFonts w:ascii="Arial" w:eastAsiaTheme="minorHAnsi" w:hAnsi="Arial" w:cs="Arial"/>
          <w:sz w:val="22"/>
          <w:szCs w:val="22"/>
          <w:lang w:eastAsia="en-US"/>
        </w:rPr>
        <w:t>). Tyto</w:t>
      </w:r>
      <w:r w:rsidR="00635056">
        <w:rPr>
          <w:rFonts w:ascii="Arial" w:eastAsiaTheme="minorHAnsi" w:hAnsi="Arial" w:cs="Arial"/>
          <w:sz w:val="22"/>
          <w:szCs w:val="22"/>
          <w:lang w:eastAsia="en-US"/>
        </w:rPr>
        <w:t> </w:t>
      </w:r>
      <w:r w:rsidRPr="00683696">
        <w:rPr>
          <w:rFonts w:ascii="Arial" w:eastAsiaTheme="minorHAnsi" w:hAnsi="Arial" w:cs="Arial"/>
          <w:sz w:val="22"/>
          <w:szCs w:val="22"/>
          <w:lang w:eastAsia="en-US"/>
        </w:rPr>
        <w:t>oblasti zahrnují klíčová opatření s prioritou P1, která jsou nezbytná pro stabilní provoz systému, legislativní shodu a ochranu dat.</w:t>
      </w:r>
    </w:p>
    <w:p w14:paraId="2BD3A8CA" w14:textId="77777777" w:rsidR="00683696" w:rsidRPr="00683696" w:rsidRDefault="00683696" w:rsidP="00683696">
      <w:pPr>
        <w:spacing w:line="264" w:lineRule="auto"/>
        <w:jc w:val="both"/>
        <w:rPr>
          <w:rFonts w:ascii="Arial" w:eastAsiaTheme="minorHAnsi" w:hAnsi="Arial" w:cs="Arial"/>
          <w:sz w:val="22"/>
          <w:szCs w:val="22"/>
          <w:lang w:eastAsia="en-US"/>
        </w:rPr>
      </w:pPr>
    </w:p>
    <w:p w14:paraId="2BA8D1DE" w14:textId="64B400BF" w:rsidR="00012113" w:rsidRDefault="00683696" w:rsidP="00683696">
      <w:pPr>
        <w:spacing w:line="264" w:lineRule="auto"/>
        <w:jc w:val="both"/>
        <w:rPr>
          <w:rFonts w:ascii="Arial" w:eastAsiaTheme="minorHAnsi" w:hAnsi="Arial" w:cs="Arial"/>
          <w:sz w:val="22"/>
          <w:szCs w:val="22"/>
          <w:lang w:eastAsia="en-US"/>
        </w:rPr>
      </w:pPr>
      <w:r w:rsidRPr="00683696">
        <w:rPr>
          <w:rFonts w:ascii="Arial" w:eastAsiaTheme="minorHAnsi" w:hAnsi="Arial" w:cs="Arial"/>
          <w:sz w:val="22"/>
          <w:szCs w:val="22"/>
          <w:lang w:eastAsia="en-US"/>
        </w:rPr>
        <w:t xml:space="preserve">Naopak nižší vážené plnění </w:t>
      </w:r>
      <w:r w:rsidRPr="00683696">
        <w:rPr>
          <w:rFonts w:ascii="Arial" w:eastAsiaTheme="minorHAnsi" w:hAnsi="Arial" w:cs="Arial"/>
          <w:b/>
          <w:bCs/>
          <w:sz w:val="22"/>
          <w:szCs w:val="22"/>
          <w:lang w:eastAsia="en-US"/>
        </w:rPr>
        <w:t>v oblasti konsolidace dat a propojování IS VaVaI s ostatními ISVS</w:t>
      </w:r>
      <w:r w:rsidRPr="00683696">
        <w:rPr>
          <w:rFonts w:ascii="Arial" w:eastAsiaTheme="minorHAnsi" w:hAnsi="Arial" w:cs="Arial"/>
          <w:sz w:val="22"/>
          <w:szCs w:val="22"/>
          <w:lang w:eastAsia="en-US"/>
        </w:rPr>
        <w:t xml:space="preserve"> (</w:t>
      </w:r>
      <w:r w:rsidRPr="00683696">
        <w:rPr>
          <w:rFonts w:ascii="Arial" w:eastAsiaTheme="minorHAnsi" w:hAnsi="Arial" w:cs="Arial"/>
          <w:b/>
          <w:bCs/>
          <w:sz w:val="22"/>
          <w:szCs w:val="22"/>
          <w:lang w:eastAsia="en-US"/>
        </w:rPr>
        <w:t>16,7 %</w:t>
      </w:r>
      <w:r w:rsidRPr="00683696">
        <w:rPr>
          <w:rFonts w:ascii="Arial" w:eastAsiaTheme="minorHAnsi" w:hAnsi="Arial" w:cs="Arial"/>
          <w:sz w:val="22"/>
          <w:szCs w:val="22"/>
          <w:lang w:eastAsia="en-US"/>
        </w:rPr>
        <w:t>) je nutné interpretovat v kontextu vysoké technické</w:t>
      </w:r>
      <w:r>
        <w:rPr>
          <w:rFonts w:ascii="Arial" w:eastAsiaTheme="minorHAnsi" w:hAnsi="Arial" w:cs="Arial"/>
          <w:sz w:val="22"/>
          <w:szCs w:val="22"/>
          <w:lang w:eastAsia="en-US"/>
        </w:rPr>
        <w:t xml:space="preserve">, </w:t>
      </w:r>
      <w:r w:rsidRPr="00683696">
        <w:rPr>
          <w:rFonts w:ascii="Arial" w:eastAsiaTheme="minorHAnsi" w:hAnsi="Arial" w:cs="Arial"/>
          <w:sz w:val="22"/>
          <w:szCs w:val="22"/>
          <w:lang w:eastAsia="en-US"/>
        </w:rPr>
        <w:t xml:space="preserve">legislativní </w:t>
      </w:r>
      <w:r>
        <w:rPr>
          <w:rFonts w:ascii="Arial" w:eastAsiaTheme="minorHAnsi" w:hAnsi="Arial" w:cs="Arial"/>
          <w:sz w:val="22"/>
          <w:szCs w:val="22"/>
          <w:lang w:eastAsia="en-US"/>
        </w:rPr>
        <w:t xml:space="preserve">a v neposlední řadě personální </w:t>
      </w:r>
      <w:r w:rsidRPr="00683696">
        <w:rPr>
          <w:rFonts w:ascii="Arial" w:eastAsiaTheme="minorHAnsi" w:hAnsi="Arial" w:cs="Arial"/>
          <w:sz w:val="22"/>
          <w:szCs w:val="22"/>
          <w:lang w:eastAsia="en-US"/>
        </w:rPr>
        <w:t xml:space="preserve">náročnosti těchto opatření, jejich </w:t>
      </w:r>
      <w:r w:rsidR="000F5C8C">
        <w:rPr>
          <w:rFonts w:ascii="Arial" w:eastAsiaTheme="minorHAnsi" w:hAnsi="Arial" w:cs="Arial"/>
          <w:sz w:val="22"/>
          <w:szCs w:val="22"/>
          <w:lang w:eastAsia="en-US"/>
        </w:rPr>
        <w:t>vyšší</w:t>
      </w:r>
      <w:r w:rsidRPr="00683696">
        <w:rPr>
          <w:rFonts w:ascii="Arial" w:eastAsiaTheme="minorHAnsi" w:hAnsi="Arial" w:cs="Arial"/>
          <w:sz w:val="22"/>
          <w:szCs w:val="22"/>
          <w:lang w:eastAsia="en-US"/>
        </w:rPr>
        <w:t xml:space="preserve"> závislosti na externích subjektech a</w:t>
      </w:r>
      <w:r w:rsidR="000F5C8C">
        <w:rPr>
          <w:rFonts w:ascii="Arial" w:eastAsiaTheme="minorHAnsi" w:hAnsi="Arial" w:cs="Arial"/>
          <w:sz w:val="22"/>
          <w:szCs w:val="22"/>
          <w:lang w:eastAsia="en-US"/>
        </w:rPr>
        <w:t> </w:t>
      </w:r>
      <w:r w:rsidRPr="00683696">
        <w:rPr>
          <w:rFonts w:ascii="Arial" w:eastAsiaTheme="minorHAnsi" w:hAnsi="Arial" w:cs="Arial"/>
          <w:sz w:val="22"/>
          <w:szCs w:val="22"/>
          <w:lang w:eastAsia="en-US"/>
        </w:rPr>
        <w:t>změn legislativního rámce v průběhu hodnoceného období. Nízký podíl formálně splněných indikátorů v této oblasti neznamená absenci aktivit, ale odráží vědomou prioritizaci zdrojů ve prospěch oblastí s</w:t>
      </w:r>
      <w:r>
        <w:rPr>
          <w:rFonts w:ascii="Arial" w:eastAsiaTheme="minorHAnsi" w:hAnsi="Arial" w:cs="Arial"/>
          <w:sz w:val="22"/>
          <w:szCs w:val="22"/>
          <w:lang w:eastAsia="en-US"/>
        </w:rPr>
        <w:t> </w:t>
      </w:r>
      <w:r w:rsidRPr="00683696">
        <w:rPr>
          <w:rFonts w:ascii="Arial" w:eastAsiaTheme="minorHAnsi" w:hAnsi="Arial" w:cs="Arial"/>
          <w:sz w:val="22"/>
          <w:szCs w:val="22"/>
          <w:lang w:eastAsia="en-US"/>
        </w:rPr>
        <w:t>okamžitým a systémovým přínosem.</w:t>
      </w:r>
    </w:p>
    <w:p w14:paraId="47EA7320" w14:textId="77777777" w:rsidR="009134F0" w:rsidRDefault="009134F0" w:rsidP="009134F0">
      <w:pPr>
        <w:spacing w:line="264" w:lineRule="auto"/>
        <w:jc w:val="both"/>
        <w:rPr>
          <w:rFonts w:ascii="Arial" w:eastAsiaTheme="minorHAnsi" w:hAnsi="Arial" w:cs="Arial"/>
          <w:b/>
          <w:bCs/>
          <w:sz w:val="22"/>
          <w:szCs w:val="22"/>
          <w:lang w:eastAsia="en-US"/>
        </w:rPr>
      </w:pPr>
    </w:p>
    <w:p w14:paraId="3461C82B" w14:textId="77777777" w:rsidR="00A340CF" w:rsidRDefault="00A340CF" w:rsidP="009134F0">
      <w:pPr>
        <w:spacing w:line="264" w:lineRule="auto"/>
        <w:jc w:val="both"/>
        <w:rPr>
          <w:rFonts w:ascii="Arial" w:eastAsiaTheme="minorHAnsi" w:hAnsi="Arial" w:cs="Arial"/>
          <w:b/>
          <w:bCs/>
          <w:sz w:val="22"/>
          <w:szCs w:val="22"/>
          <w:lang w:eastAsia="en-US"/>
        </w:rPr>
      </w:pPr>
    </w:p>
    <w:p w14:paraId="4B6E0FF8" w14:textId="7F27C948" w:rsidR="009134F0" w:rsidRPr="00E562D3" w:rsidRDefault="009134F0" w:rsidP="009134F0">
      <w:pPr>
        <w:spacing w:line="264" w:lineRule="auto"/>
        <w:jc w:val="both"/>
        <w:rPr>
          <w:rFonts w:ascii="Arial" w:eastAsiaTheme="minorHAnsi" w:hAnsi="Arial" w:cs="Arial"/>
          <w:sz w:val="22"/>
          <w:szCs w:val="22"/>
          <w:lang w:eastAsia="en-US"/>
        </w:rPr>
      </w:pPr>
      <w:r w:rsidRPr="00E562D3">
        <w:rPr>
          <w:rFonts w:ascii="Arial" w:eastAsiaTheme="minorHAnsi" w:hAnsi="Arial" w:cs="Arial"/>
          <w:b/>
          <w:bCs/>
          <w:sz w:val="22"/>
          <w:szCs w:val="22"/>
          <w:lang w:eastAsia="en-US"/>
        </w:rPr>
        <w:lastRenderedPageBreak/>
        <w:t xml:space="preserve">Graf č. </w:t>
      </w:r>
      <w:r>
        <w:rPr>
          <w:rFonts w:ascii="Arial" w:eastAsiaTheme="minorHAnsi" w:hAnsi="Arial" w:cs="Arial"/>
          <w:b/>
          <w:bCs/>
          <w:sz w:val="22"/>
          <w:szCs w:val="22"/>
          <w:lang w:eastAsia="en-US"/>
        </w:rPr>
        <w:t>3</w:t>
      </w:r>
      <w:r w:rsidRPr="00E562D3">
        <w:rPr>
          <w:rFonts w:ascii="Arial" w:eastAsiaTheme="minorHAnsi" w:hAnsi="Arial" w:cs="Arial"/>
          <w:sz w:val="22"/>
          <w:szCs w:val="22"/>
          <w:lang w:eastAsia="en-US"/>
        </w:rPr>
        <w:t xml:space="preserve">: </w:t>
      </w:r>
      <w:r>
        <w:rPr>
          <w:rFonts w:ascii="Arial" w:eastAsiaTheme="minorHAnsi" w:hAnsi="Arial" w:cs="Arial"/>
          <w:sz w:val="22"/>
          <w:szCs w:val="22"/>
          <w:lang w:eastAsia="en-US"/>
        </w:rPr>
        <w:t xml:space="preserve">Stav </w:t>
      </w:r>
      <w:r w:rsidRPr="00E562D3">
        <w:rPr>
          <w:rFonts w:ascii="Arial" w:eastAsiaTheme="minorHAnsi" w:hAnsi="Arial" w:cs="Arial"/>
          <w:sz w:val="22"/>
          <w:szCs w:val="22"/>
          <w:lang w:eastAsia="en-US"/>
        </w:rPr>
        <w:t xml:space="preserve">plnění </w:t>
      </w:r>
      <w:r>
        <w:rPr>
          <w:rFonts w:ascii="Arial" w:eastAsiaTheme="minorHAnsi" w:hAnsi="Arial" w:cs="Arial"/>
          <w:sz w:val="22"/>
          <w:szCs w:val="22"/>
          <w:lang w:eastAsia="en-US"/>
        </w:rPr>
        <w:t>monitorovacích indikátorů</w:t>
      </w:r>
      <w:r w:rsidRPr="00E562D3">
        <w:rPr>
          <w:rFonts w:ascii="Arial" w:eastAsiaTheme="minorHAnsi" w:hAnsi="Arial" w:cs="Arial"/>
          <w:sz w:val="22"/>
          <w:szCs w:val="22"/>
          <w:lang w:eastAsia="en-US"/>
        </w:rPr>
        <w:t xml:space="preserve"> podle strategických oblastí</w:t>
      </w:r>
    </w:p>
    <w:p w14:paraId="18F1F0C0" w14:textId="77777777" w:rsidR="009134F0" w:rsidRPr="00683696" w:rsidRDefault="009134F0" w:rsidP="00683696">
      <w:pPr>
        <w:spacing w:line="264" w:lineRule="auto"/>
        <w:jc w:val="both"/>
        <w:rPr>
          <w:rFonts w:ascii="Arial" w:eastAsiaTheme="minorHAnsi" w:hAnsi="Arial" w:cs="Arial"/>
          <w:sz w:val="22"/>
          <w:szCs w:val="22"/>
          <w:lang w:eastAsia="en-US"/>
        </w:rPr>
      </w:pPr>
    </w:p>
    <w:p w14:paraId="27034793" w14:textId="100A5970" w:rsidR="00012113" w:rsidRDefault="009134F0" w:rsidP="00E12009">
      <w:pPr>
        <w:spacing w:line="264" w:lineRule="auto"/>
        <w:jc w:val="both"/>
        <w:rPr>
          <w:rFonts w:ascii="Arial" w:eastAsiaTheme="minorHAnsi" w:hAnsi="Arial" w:cs="Arial"/>
          <w:b/>
          <w:bCs/>
          <w:color w:val="4F81BD" w:themeColor="accent1"/>
          <w:sz w:val="22"/>
          <w:szCs w:val="22"/>
          <w:lang w:eastAsia="en-US"/>
        </w:rPr>
      </w:pPr>
      <w:r w:rsidRPr="00E52D56">
        <w:rPr>
          <w:noProof/>
        </w:rPr>
        <w:drawing>
          <wp:inline distT="0" distB="0" distL="0" distR="0" wp14:anchorId="7815D4FB" wp14:editId="7898A355">
            <wp:extent cx="5760641" cy="3198495"/>
            <wp:effectExtent l="0" t="0" r="0" b="1905"/>
            <wp:docPr id="1049495896" name="Obrázek 8" descr="Plnění podle oblast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Plnění podle oblastí"/>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4819"/>
                    <a:stretch>
                      <a:fillRect/>
                    </a:stretch>
                  </pic:blipFill>
                  <pic:spPr bwMode="auto">
                    <a:xfrm>
                      <a:off x="0" y="0"/>
                      <a:ext cx="5760720" cy="3198539"/>
                    </a:xfrm>
                    <a:prstGeom prst="rect">
                      <a:avLst/>
                    </a:prstGeom>
                    <a:noFill/>
                    <a:ln>
                      <a:noFill/>
                    </a:ln>
                    <a:extLst>
                      <a:ext uri="{53640926-AAD7-44D8-BBD7-CCE9431645EC}">
                        <a14:shadowObscured xmlns:a14="http://schemas.microsoft.com/office/drawing/2010/main"/>
                      </a:ext>
                    </a:extLst>
                  </pic:spPr>
                </pic:pic>
              </a:graphicData>
            </a:graphic>
          </wp:inline>
        </w:drawing>
      </w:r>
    </w:p>
    <w:p w14:paraId="710FB275" w14:textId="0687E906" w:rsidR="00E12009" w:rsidRPr="00E12009" w:rsidRDefault="00453DFB" w:rsidP="00E12009">
      <w:pPr>
        <w:spacing w:line="264" w:lineRule="auto"/>
        <w:jc w:val="both"/>
        <w:rPr>
          <w:rFonts w:ascii="Arial" w:eastAsiaTheme="minorHAnsi" w:hAnsi="Arial" w:cs="Arial"/>
          <w:b/>
          <w:bCs/>
          <w:color w:val="4F81BD" w:themeColor="accent1"/>
          <w:sz w:val="22"/>
          <w:szCs w:val="22"/>
          <w:lang w:eastAsia="en-US"/>
        </w:rPr>
      </w:pPr>
      <w:r>
        <w:rPr>
          <w:rFonts w:ascii="Arial" w:eastAsiaTheme="minorHAnsi" w:hAnsi="Arial" w:cs="Arial"/>
          <w:b/>
          <w:bCs/>
          <w:color w:val="4F81BD" w:themeColor="accent1"/>
          <w:sz w:val="22"/>
          <w:szCs w:val="22"/>
          <w:lang w:eastAsia="en-US"/>
        </w:rPr>
        <w:t>3</w:t>
      </w:r>
      <w:r w:rsidR="00E12009" w:rsidRPr="00E12009">
        <w:rPr>
          <w:rFonts w:ascii="Arial" w:eastAsiaTheme="minorHAnsi" w:hAnsi="Arial" w:cs="Arial"/>
          <w:b/>
          <w:bCs/>
          <w:color w:val="4F81BD" w:themeColor="accent1"/>
          <w:sz w:val="22"/>
          <w:szCs w:val="22"/>
          <w:lang w:eastAsia="en-US"/>
        </w:rPr>
        <w:t>.1 Datový model a datové struktury</w:t>
      </w:r>
    </w:p>
    <w:p w14:paraId="23C242D1" w14:textId="77777777" w:rsidR="00E12009" w:rsidRDefault="00E12009" w:rsidP="00E12009">
      <w:pPr>
        <w:spacing w:line="264" w:lineRule="auto"/>
        <w:jc w:val="both"/>
        <w:rPr>
          <w:rFonts w:ascii="Arial" w:eastAsiaTheme="minorHAnsi" w:hAnsi="Arial" w:cs="Arial"/>
          <w:b/>
          <w:bCs/>
          <w:color w:val="4F81BD" w:themeColor="accent1"/>
          <w:sz w:val="22"/>
          <w:szCs w:val="22"/>
          <w:lang w:eastAsia="en-US"/>
        </w:rPr>
      </w:pPr>
    </w:p>
    <w:p w14:paraId="4794B0AF" w14:textId="21877C84" w:rsidR="00E12009" w:rsidRPr="00E12009" w:rsidRDefault="00E12009" w:rsidP="00E12009">
      <w:pPr>
        <w:spacing w:line="264" w:lineRule="auto"/>
        <w:jc w:val="both"/>
        <w:rPr>
          <w:rFonts w:ascii="Arial" w:eastAsiaTheme="minorHAnsi" w:hAnsi="Arial" w:cs="Arial"/>
          <w:sz w:val="22"/>
          <w:szCs w:val="22"/>
          <w:lang w:eastAsia="en-US"/>
        </w:rPr>
      </w:pPr>
      <w:r w:rsidRPr="00E12009">
        <w:rPr>
          <w:rFonts w:ascii="Arial" w:eastAsiaTheme="minorHAnsi" w:hAnsi="Arial" w:cs="Arial"/>
          <w:sz w:val="22"/>
          <w:szCs w:val="22"/>
          <w:lang w:eastAsia="en-US"/>
        </w:rPr>
        <w:t>Strategická oblast zaměřená na datový model a struktury byla plněna velmi konzistentně a</w:t>
      </w:r>
      <w:r>
        <w:rPr>
          <w:rFonts w:ascii="Arial" w:eastAsiaTheme="minorHAnsi" w:hAnsi="Arial" w:cs="Arial"/>
          <w:sz w:val="22"/>
          <w:szCs w:val="22"/>
          <w:lang w:eastAsia="en-US"/>
        </w:rPr>
        <w:t> </w:t>
      </w:r>
      <w:r w:rsidRPr="00E12009">
        <w:rPr>
          <w:rFonts w:ascii="Arial" w:eastAsiaTheme="minorHAnsi" w:hAnsi="Arial" w:cs="Arial"/>
          <w:sz w:val="22"/>
          <w:szCs w:val="22"/>
          <w:lang w:eastAsia="en-US"/>
        </w:rPr>
        <w:t>systematicky. V průběhu celého období probíhaly průběžné analýzy datového modelu, revize datových polí a aktualizace číselníků, což vedlo ke zvyšování kvality, přesnosti a</w:t>
      </w:r>
      <w:r>
        <w:rPr>
          <w:rFonts w:ascii="Arial" w:eastAsiaTheme="minorHAnsi" w:hAnsi="Arial" w:cs="Arial"/>
          <w:sz w:val="22"/>
          <w:szCs w:val="22"/>
          <w:lang w:eastAsia="en-US"/>
        </w:rPr>
        <w:t> </w:t>
      </w:r>
      <w:r w:rsidRPr="00E12009">
        <w:rPr>
          <w:rFonts w:ascii="Arial" w:eastAsiaTheme="minorHAnsi" w:hAnsi="Arial" w:cs="Arial"/>
          <w:sz w:val="22"/>
          <w:szCs w:val="22"/>
          <w:lang w:eastAsia="en-US"/>
        </w:rPr>
        <w:t>mezinárodní srovnatelnosti dat.</w:t>
      </w:r>
    </w:p>
    <w:p w14:paraId="27A226EB" w14:textId="77777777" w:rsidR="00E12009" w:rsidRDefault="00E12009" w:rsidP="00E12009">
      <w:pPr>
        <w:spacing w:line="264" w:lineRule="auto"/>
        <w:jc w:val="both"/>
        <w:rPr>
          <w:rFonts w:ascii="Arial" w:eastAsiaTheme="minorHAnsi" w:hAnsi="Arial" w:cs="Arial"/>
          <w:sz w:val="22"/>
          <w:szCs w:val="22"/>
          <w:lang w:eastAsia="en-US"/>
        </w:rPr>
      </w:pPr>
    </w:p>
    <w:p w14:paraId="2E4B0E81" w14:textId="65C091B1" w:rsidR="00E12009" w:rsidRDefault="00E12009" w:rsidP="00E12009">
      <w:pPr>
        <w:spacing w:line="264" w:lineRule="auto"/>
        <w:jc w:val="both"/>
        <w:rPr>
          <w:rFonts w:ascii="Arial" w:eastAsiaTheme="minorHAnsi" w:hAnsi="Arial" w:cs="Arial"/>
          <w:sz w:val="22"/>
          <w:szCs w:val="22"/>
          <w:lang w:eastAsia="en-US"/>
        </w:rPr>
      </w:pPr>
      <w:r w:rsidRPr="00E12009">
        <w:rPr>
          <w:rFonts w:ascii="Arial" w:eastAsiaTheme="minorHAnsi" w:hAnsi="Arial" w:cs="Arial"/>
          <w:sz w:val="22"/>
          <w:szCs w:val="22"/>
          <w:lang w:eastAsia="en-US"/>
        </w:rPr>
        <w:t>Byla realizována:</w:t>
      </w:r>
    </w:p>
    <w:p w14:paraId="6872705F" w14:textId="77777777" w:rsidR="009D308E" w:rsidRPr="00E12009" w:rsidRDefault="009D308E" w:rsidP="00E12009">
      <w:pPr>
        <w:spacing w:line="264" w:lineRule="auto"/>
        <w:jc w:val="both"/>
        <w:rPr>
          <w:rFonts w:ascii="Arial" w:eastAsiaTheme="minorHAnsi" w:hAnsi="Arial" w:cs="Arial"/>
          <w:sz w:val="22"/>
          <w:szCs w:val="22"/>
          <w:lang w:eastAsia="en-US"/>
        </w:rPr>
      </w:pPr>
    </w:p>
    <w:p w14:paraId="1078380B" w14:textId="60E9F9FE" w:rsidR="00E12009" w:rsidRPr="00FC47A3" w:rsidRDefault="00E12009" w:rsidP="003B3110">
      <w:pPr>
        <w:pStyle w:val="Odstavecseseznamem"/>
        <w:numPr>
          <w:ilvl w:val="0"/>
          <w:numId w:val="1"/>
        </w:numPr>
        <w:spacing w:line="264" w:lineRule="auto"/>
        <w:jc w:val="both"/>
        <w:rPr>
          <w:rFonts w:ascii="Arial" w:eastAsiaTheme="minorHAnsi" w:hAnsi="Arial" w:cs="Arial"/>
          <w:sz w:val="22"/>
          <w:szCs w:val="22"/>
          <w:lang w:eastAsia="en-US"/>
        </w:rPr>
      </w:pPr>
      <w:r w:rsidRPr="00FC47A3">
        <w:rPr>
          <w:rFonts w:ascii="Arial" w:eastAsiaTheme="minorHAnsi" w:hAnsi="Arial" w:cs="Arial"/>
          <w:sz w:val="22"/>
          <w:szCs w:val="22"/>
          <w:lang w:eastAsia="en-US"/>
        </w:rPr>
        <w:t>optimalizace struktury datových polí</w:t>
      </w:r>
      <w:r w:rsidR="009D308E" w:rsidRPr="00FC47A3">
        <w:rPr>
          <w:rFonts w:ascii="Arial" w:eastAsiaTheme="minorHAnsi" w:hAnsi="Arial" w:cs="Arial"/>
          <w:sz w:val="22"/>
          <w:szCs w:val="22"/>
          <w:lang w:eastAsia="en-US"/>
        </w:rPr>
        <w:t xml:space="preserve"> a odstranění nevyužívaných polí</w:t>
      </w:r>
      <w:r w:rsidRPr="00FC47A3">
        <w:rPr>
          <w:rFonts w:ascii="Arial" w:eastAsiaTheme="minorHAnsi" w:hAnsi="Arial" w:cs="Arial"/>
          <w:sz w:val="22"/>
          <w:szCs w:val="22"/>
          <w:lang w:eastAsia="en-US"/>
        </w:rPr>
        <w:t>,</w:t>
      </w:r>
    </w:p>
    <w:p w14:paraId="6F0AB4EA" w14:textId="1F6D7B2E" w:rsidR="00E12009" w:rsidRPr="00FC47A3" w:rsidRDefault="00E12009" w:rsidP="003B3110">
      <w:pPr>
        <w:pStyle w:val="Odstavecseseznamem"/>
        <w:numPr>
          <w:ilvl w:val="0"/>
          <w:numId w:val="1"/>
        </w:numPr>
        <w:spacing w:line="264" w:lineRule="auto"/>
        <w:jc w:val="both"/>
        <w:rPr>
          <w:rFonts w:ascii="Arial" w:eastAsiaTheme="minorHAnsi" w:hAnsi="Arial" w:cs="Arial"/>
          <w:sz w:val="22"/>
          <w:szCs w:val="22"/>
          <w:lang w:eastAsia="en-US"/>
        </w:rPr>
      </w:pPr>
      <w:r w:rsidRPr="00FC47A3">
        <w:rPr>
          <w:rFonts w:ascii="Arial" w:eastAsiaTheme="minorHAnsi" w:hAnsi="Arial" w:cs="Arial"/>
          <w:sz w:val="22"/>
          <w:szCs w:val="22"/>
          <w:lang w:eastAsia="en-US"/>
        </w:rPr>
        <w:t>průběžná revize obecných i systémových číselníků,</w:t>
      </w:r>
    </w:p>
    <w:p w14:paraId="74C2F399" w14:textId="684CFF2B" w:rsidR="00FC47A3" w:rsidRPr="00FC47A3" w:rsidRDefault="00E12009" w:rsidP="003B3110">
      <w:pPr>
        <w:pStyle w:val="Odstavecseseznamem"/>
        <w:numPr>
          <w:ilvl w:val="0"/>
          <w:numId w:val="1"/>
        </w:numPr>
        <w:spacing w:line="264" w:lineRule="auto"/>
        <w:jc w:val="both"/>
        <w:rPr>
          <w:rFonts w:ascii="Arial" w:eastAsiaTheme="minorHAnsi" w:hAnsi="Arial" w:cs="Arial"/>
          <w:sz w:val="22"/>
          <w:szCs w:val="22"/>
          <w:lang w:eastAsia="en-US"/>
        </w:rPr>
      </w:pPr>
      <w:r w:rsidRPr="00FC47A3">
        <w:rPr>
          <w:rFonts w:ascii="Arial" w:eastAsiaTheme="minorHAnsi" w:hAnsi="Arial" w:cs="Arial"/>
          <w:sz w:val="22"/>
          <w:szCs w:val="22"/>
          <w:lang w:eastAsia="en-US"/>
        </w:rPr>
        <w:t>zavádění nových datových prvků reflektujících vývoj legislativy i potřeb analytické</w:t>
      </w:r>
      <w:r w:rsidR="00FC47A3">
        <w:rPr>
          <w:rFonts w:ascii="Arial" w:eastAsiaTheme="minorHAnsi" w:hAnsi="Arial" w:cs="Arial"/>
          <w:sz w:val="22"/>
          <w:szCs w:val="22"/>
          <w:lang w:eastAsia="en-US"/>
        </w:rPr>
        <w:t xml:space="preserve"> </w:t>
      </w:r>
      <w:r w:rsidR="009D308E" w:rsidRPr="00FC47A3">
        <w:rPr>
          <w:rFonts w:ascii="Arial" w:eastAsiaTheme="minorHAnsi" w:hAnsi="Arial" w:cs="Arial"/>
          <w:sz w:val="22"/>
          <w:szCs w:val="22"/>
          <w:lang w:eastAsia="en-US"/>
        </w:rPr>
        <w:t>p</w:t>
      </w:r>
      <w:r w:rsidRPr="00FC47A3">
        <w:rPr>
          <w:rFonts w:ascii="Arial" w:eastAsiaTheme="minorHAnsi" w:hAnsi="Arial" w:cs="Arial"/>
          <w:sz w:val="22"/>
          <w:szCs w:val="22"/>
          <w:lang w:eastAsia="en-US"/>
        </w:rPr>
        <w:t>raxe</w:t>
      </w:r>
      <w:r w:rsidR="00FC47A3">
        <w:rPr>
          <w:rFonts w:ascii="Arial" w:eastAsiaTheme="minorHAnsi" w:hAnsi="Arial" w:cs="Arial"/>
          <w:sz w:val="22"/>
          <w:szCs w:val="22"/>
          <w:lang w:eastAsia="en-US"/>
        </w:rPr>
        <w:t>,</w:t>
      </w:r>
    </w:p>
    <w:p w14:paraId="1690AE1D" w14:textId="6CE61605" w:rsidR="00FC47A3" w:rsidRPr="00FC47A3" w:rsidRDefault="009D308E" w:rsidP="003B3110">
      <w:pPr>
        <w:pStyle w:val="Odstavecseseznamem"/>
        <w:numPr>
          <w:ilvl w:val="0"/>
          <w:numId w:val="1"/>
        </w:numPr>
        <w:spacing w:line="264" w:lineRule="auto"/>
        <w:jc w:val="both"/>
        <w:rPr>
          <w:rFonts w:ascii="Arial" w:eastAsiaTheme="minorHAnsi" w:hAnsi="Arial" w:cs="Arial"/>
          <w:sz w:val="22"/>
          <w:szCs w:val="22"/>
          <w:lang w:eastAsia="en-US"/>
        </w:rPr>
      </w:pPr>
      <w:r w:rsidRPr="00FC47A3">
        <w:rPr>
          <w:rFonts w:ascii="Arial" w:eastAsiaTheme="minorHAnsi" w:hAnsi="Arial" w:cs="Arial"/>
          <w:sz w:val="22"/>
          <w:szCs w:val="22"/>
          <w:lang w:eastAsia="en-US"/>
        </w:rPr>
        <w:t xml:space="preserve">nové datové prvky (např. ROR ID, </w:t>
      </w:r>
      <w:proofErr w:type="spellStart"/>
      <w:r w:rsidRPr="00FC47A3">
        <w:rPr>
          <w:rFonts w:ascii="Arial" w:eastAsiaTheme="minorHAnsi" w:hAnsi="Arial" w:cs="Arial"/>
          <w:sz w:val="22"/>
          <w:szCs w:val="22"/>
          <w:lang w:eastAsia="en-US"/>
        </w:rPr>
        <w:t>RAiD</w:t>
      </w:r>
      <w:proofErr w:type="spellEnd"/>
      <w:r w:rsidRPr="00FC47A3">
        <w:rPr>
          <w:rFonts w:ascii="Arial" w:eastAsiaTheme="minorHAnsi" w:hAnsi="Arial" w:cs="Arial"/>
          <w:sz w:val="22"/>
          <w:szCs w:val="22"/>
          <w:lang w:eastAsia="en-US"/>
        </w:rPr>
        <w:t>) pro mezinárodní kompatibilitu</w:t>
      </w:r>
      <w:r w:rsidR="00FC47A3">
        <w:rPr>
          <w:rFonts w:ascii="Arial" w:eastAsiaTheme="minorHAnsi" w:hAnsi="Arial" w:cs="Arial"/>
          <w:sz w:val="22"/>
          <w:szCs w:val="22"/>
          <w:lang w:eastAsia="en-US"/>
        </w:rPr>
        <w:t>,</w:t>
      </w:r>
    </w:p>
    <w:p w14:paraId="08CB7AAF" w14:textId="030E151F" w:rsidR="00E12009" w:rsidRPr="00FC47A3" w:rsidRDefault="00B24836" w:rsidP="003B3110">
      <w:pPr>
        <w:pStyle w:val="Odstavecseseznamem"/>
        <w:numPr>
          <w:ilvl w:val="0"/>
          <w:numId w:val="1"/>
        </w:numPr>
        <w:spacing w:line="264" w:lineRule="auto"/>
        <w:jc w:val="both"/>
        <w:rPr>
          <w:rFonts w:ascii="Arial" w:eastAsiaTheme="minorHAnsi" w:hAnsi="Arial" w:cs="Arial"/>
          <w:sz w:val="22"/>
          <w:szCs w:val="22"/>
          <w:lang w:eastAsia="en-US"/>
        </w:rPr>
      </w:pPr>
      <w:r>
        <w:rPr>
          <w:rFonts w:ascii="Arial" w:eastAsiaTheme="minorHAnsi" w:hAnsi="Arial" w:cs="Arial"/>
          <w:sz w:val="22"/>
          <w:szCs w:val="22"/>
          <w:lang w:eastAsia="en-US"/>
        </w:rPr>
        <w:t>p</w:t>
      </w:r>
      <w:r w:rsidR="00FC47A3" w:rsidRPr="00FC47A3">
        <w:rPr>
          <w:rFonts w:ascii="Arial" w:eastAsiaTheme="minorHAnsi" w:hAnsi="Arial" w:cs="Arial"/>
          <w:sz w:val="22"/>
          <w:szCs w:val="22"/>
          <w:lang w:eastAsia="en-US"/>
        </w:rPr>
        <w:t>ublikace otevřených dat – 43 datových sad v NKOD, včetně číselníků</w:t>
      </w:r>
      <w:r w:rsidR="00E12009" w:rsidRPr="00FC47A3">
        <w:rPr>
          <w:rFonts w:ascii="Arial" w:eastAsiaTheme="minorHAnsi" w:hAnsi="Arial" w:cs="Arial"/>
          <w:sz w:val="22"/>
          <w:szCs w:val="22"/>
          <w:lang w:eastAsia="en-US"/>
        </w:rPr>
        <w:t>.</w:t>
      </w:r>
    </w:p>
    <w:p w14:paraId="483EBC87" w14:textId="77777777" w:rsidR="00E12009" w:rsidRDefault="00E12009" w:rsidP="00E12009">
      <w:pPr>
        <w:spacing w:line="264" w:lineRule="auto"/>
        <w:jc w:val="both"/>
        <w:rPr>
          <w:rFonts w:ascii="Arial" w:eastAsiaTheme="minorHAnsi" w:hAnsi="Arial" w:cs="Arial"/>
          <w:sz w:val="22"/>
          <w:szCs w:val="22"/>
          <w:lang w:eastAsia="en-US"/>
        </w:rPr>
      </w:pPr>
    </w:p>
    <w:p w14:paraId="69E8C67D" w14:textId="77777777" w:rsidR="006C2B16" w:rsidRPr="006C2B16" w:rsidRDefault="006C2B16" w:rsidP="006C2B16">
      <w:pPr>
        <w:pBdr>
          <w:top w:val="single" w:sz="4" w:space="1" w:color="auto"/>
          <w:left w:val="single" w:sz="4" w:space="4" w:color="auto"/>
          <w:bottom w:val="single" w:sz="4" w:space="1" w:color="auto"/>
          <w:right w:val="single" w:sz="4" w:space="4" w:color="auto"/>
        </w:pBdr>
        <w:spacing w:line="264" w:lineRule="auto"/>
        <w:jc w:val="both"/>
        <w:rPr>
          <w:rFonts w:ascii="Arial" w:eastAsiaTheme="minorHAnsi" w:hAnsi="Arial" w:cs="Arial"/>
          <w:sz w:val="22"/>
          <w:szCs w:val="22"/>
          <w:lang w:eastAsia="en-US"/>
        </w:rPr>
      </w:pPr>
      <w:r w:rsidRPr="006C2B16">
        <w:rPr>
          <w:rFonts w:ascii="Arial" w:eastAsiaTheme="minorHAnsi" w:hAnsi="Arial" w:cs="Arial"/>
          <w:b/>
          <w:bCs/>
          <w:sz w:val="22"/>
          <w:szCs w:val="22"/>
          <w:lang w:eastAsia="en-US"/>
        </w:rPr>
        <w:t>Plnění:</w:t>
      </w:r>
      <w:r w:rsidRPr="006C2B16">
        <w:rPr>
          <w:rFonts w:ascii="Arial" w:eastAsiaTheme="minorHAnsi" w:hAnsi="Arial" w:cs="Arial"/>
          <w:sz w:val="22"/>
          <w:szCs w:val="22"/>
          <w:lang w:eastAsia="en-US"/>
        </w:rPr>
        <w:t xml:space="preserve"> 12 indikátorů, z toho </w:t>
      </w:r>
      <w:r w:rsidRPr="006C2B16">
        <w:rPr>
          <w:rFonts w:ascii="Arial" w:eastAsiaTheme="minorHAnsi" w:hAnsi="Arial" w:cs="Arial"/>
          <w:b/>
          <w:bCs/>
          <w:sz w:val="22"/>
          <w:szCs w:val="22"/>
          <w:lang w:eastAsia="en-US"/>
        </w:rPr>
        <w:t>11 ANO (91,7 %)</w:t>
      </w:r>
      <w:r w:rsidRPr="006C2B16">
        <w:rPr>
          <w:rFonts w:ascii="Arial" w:eastAsiaTheme="minorHAnsi" w:hAnsi="Arial" w:cs="Arial"/>
          <w:sz w:val="22"/>
          <w:szCs w:val="22"/>
          <w:lang w:eastAsia="en-US"/>
        </w:rPr>
        <w:t xml:space="preserve">, </w:t>
      </w:r>
      <w:r w:rsidRPr="006C2B16">
        <w:rPr>
          <w:rFonts w:ascii="Arial" w:eastAsiaTheme="minorHAnsi" w:hAnsi="Arial" w:cs="Arial"/>
          <w:b/>
          <w:bCs/>
          <w:sz w:val="22"/>
          <w:szCs w:val="22"/>
          <w:lang w:eastAsia="en-US"/>
        </w:rPr>
        <w:t>1 ČÁSTEČNĚ (8,3 %)</w:t>
      </w:r>
      <w:r w:rsidRPr="006C2B16">
        <w:rPr>
          <w:rFonts w:ascii="Arial" w:eastAsiaTheme="minorHAnsi" w:hAnsi="Arial" w:cs="Arial"/>
          <w:sz w:val="22"/>
          <w:szCs w:val="22"/>
          <w:lang w:eastAsia="en-US"/>
        </w:rPr>
        <w:t xml:space="preserve">, </w:t>
      </w:r>
      <w:r w:rsidRPr="006C2B16">
        <w:rPr>
          <w:rFonts w:ascii="Arial" w:eastAsiaTheme="minorHAnsi" w:hAnsi="Arial" w:cs="Arial"/>
          <w:b/>
          <w:bCs/>
          <w:sz w:val="22"/>
          <w:szCs w:val="22"/>
          <w:lang w:eastAsia="en-US"/>
        </w:rPr>
        <w:t>0 NE (0 %)</w:t>
      </w:r>
      <w:r w:rsidRPr="006C2B16">
        <w:rPr>
          <w:rFonts w:ascii="Arial" w:eastAsiaTheme="minorHAnsi" w:hAnsi="Arial" w:cs="Arial"/>
          <w:sz w:val="22"/>
          <w:szCs w:val="22"/>
          <w:lang w:eastAsia="en-US"/>
        </w:rPr>
        <w:t xml:space="preserve">. Vážené plnění: </w:t>
      </w:r>
      <w:r w:rsidRPr="006C2B16">
        <w:rPr>
          <w:rFonts w:ascii="Arial" w:eastAsiaTheme="minorHAnsi" w:hAnsi="Arial" w:cs="Arial"/>
          <w:b/>
          <w:bCs/>
          <w:color w:val="76923C" w:themeColor="accent3" w:themeShade="BF"/>
          <w:sz w:val="22"/>
          <w:szCs w:val="22"/>
          <w:lang w:eastAsia="en-US"/>
        </w:rPr>
        <w:t>95,8 %</w:t>
      </w:r>
      <w:r w:rsidRPr="006C2B16">
        <w:rPr>
          <w:rFonts w:ascii="Arial" w:eastAsiaTheme="minorHAnsi" w:hAnsi="Arial" w:cs="Arial"/>
          <w:sz w:val="22"/>
          <w:szCs w:val="22"/>
          <w:lang w:eastAsia="en-US"/>
        </w:rPr>
        <w:t>.</w:t>
      </w:r>
    </w:p>
    <w:p w14:paraId="169E13C7" w14:textId="77777777" w:rsidR="006C2B16" w:rsidRDefault="006C2B16" w:rsidP="00E12009">
      <w:pPr>
        <w:spacing w:line="264" w:lineRule="auto"/>
        <w:jc w:val="both"/>
        <w:rPr>
          <w:rFonts w:ascii="Arial" w:eastAsiaTheme="minorHAnsi" w:hAnsi="Arial" w:cs="Arial"/>
          <w:sz w:val="22"/>
          <w:szCs w:val="22"/>
          <w:lang w:eastAsia="en-US"/>
        </w:rPr>
      </w:pPr>
    </w:p>
    <w:p w14:paraId="012E40DA" w14:textId="73B8E109" w:rsidR="00E12009" w:rsidRPr="00E12009" w:rsidRDefault="00E12009" w:rsidP="00E12009">
      <w:pPr>
        <w:spacing w:line="264" w:lineRule="auto"/>
        <w:jc w:val="both"/>
        <w:rPr>
          <w:rFonts w:ascii="Arial" w:eastAsiaTheme="minorHAnsi" w:hAnsi="Arial" w:cs="Arial"/>
          <w:sz w:val="22"/>
          <w:szCs w:val="22"/>
          <w:lang w:eastAsia="en-US"/>
        </w:rPr>
      </w:pPr>
      <w:r w:rsidRPr="00E12009">
        <w:rPr>
          <w:rFonts w:ascii="Arial" w:eastAsiaTheme="minorHAnsi" w:hAnsi="Arial" w:cs="Arial"/>
          <w:sz w:val="22"/>
          <w:szCs w:val="22"/>
          <w:lang w:eastAsia="en-US"/>
        </w:rPr>
        <w:t>T</w:t>
      </w:r>
      <w:r>
        <w:rPr>
          <w:rFonts w:ascii="Arial" w:eastAsiaTheme="minorHAnsi" w:hAnsi="Arial" w:cs="Arial"/>
          <w:sz w:val="22"/>
          <w:szCs w:val="22"/>
          <w:lang w:eastAsia="en-US"/>
        </w:rPr>
        <w:t>u</w:t>
      </w:r>
      <w:r w:rsidRPr="00E12009">
        <w:rPr>
          <w:rFonts w:ascii="Arial" w:eastAsiaTheme="minorHAnsi" w:hAnsi="Arial" w:cs="Arial"/>
          <w:sz w:val="22"/>
          <w:szCs w:val="22"/>
          <w:lang w:eastAsia="en-US"/>
        </w:rPr>
        <w:t>to oblast lze hodnotit jako plně splněnou, přičemž její přínos spočívá zejména ve vytvoření stabilního a flexibilního datového základu, který umožňuje další rozvoj analytických nástrojů a podporuje kvalitní rozhodování na úrovni státní správy.</w:t>
      </w:r>
    </w:p>
    <w:p w14:paraId="6C5E48C1" w14:textId="77777777" w:rsidR="00E12009" w:rsidRDefault="00E12009" w:rsidP="00E12009">
      <w:pPr>
        <w:spacing w:line="264" w:lineRule="auto"/>
        <w:jc w:val="both"/>
        <w:rPr>
          <w:rFonts w:ascii="Arial" w:eastAsiaTheme="minorHAnsi" w:hAnsi="Arial" w:cs="Arial"/>
          <w:sz w:val="22"/>
          <w:szCs w:val="22"/>
          <w:lang w:eastAsia="en-US"/>
        </w:rPr>
      </w:pPr>
    </w:p>
    <w:p w14:paraId="09FD9476" w14:textId="0C8CF610" w:rsidR="00E12009" w:rsidRPr="00E12009" w:rsidRDefault="00453DFB" w:rsidP="00E12009">
      <w:pPr>
        <w:spacing w:line="264" w:lineRule="auto"/>
        <w:jc w:val="both"/>
        <w:rPr>
          <w:rFonts w:ascii="Arial" w:eastAsiaTheme="minorHAnsi" w:hAnsi="Arial" w:cs="Arial"/>
          <w:b/>
          <w:bCs/>
          <w:color w:val="4F81BD" w:themeColor="accent1"/>
          <w:sz w:val="22"/>
          <w:szCs w:val="22"/>
          <w:lang w:eastAsia="en-US"/>
        </w:rPr>
      </w:pPr>
      <w:r>
        <w:rPr>
          <w:rFonts w:ascii="Arial" w:eastAsiaTheme="minorHAnsi" w:hAnsi="Arial" w:cs="Arial"/>
          <w:b/>
          <w:bCs/>
          <w:color w:val="4F81BD" w:themeColor="accent1"/>
          <w:sz w:val="22"/>
          <w:szCs w:val="22"/>
          <w:lang w:eastAsia="en-US"/>
        </w:rPr>
        <w:t>3</w:t>
      </w:r>
      <w:r w:rsidR="00E12009" w:rsidRPr="00E12009">
        <w:rPr>
          <w:rFonts w:ascii="Arial" w:eastAsiaTheme="minorHAnsi" w:hAnsi="Arial" w:cs="Arial"/>
          <w:b/>
          <w:bCs/>
          <w:color w:val="4F81BD" w:themeColor="accent1"/>
          <w:sz w:val="22"/>
          <w:szCs w:val="22"/>
          <w:lang w:eastAsia="en-US"/>
        </w:rPr>
        <w:t>.2 Veřejné rozhraní IS VaVaI</w:t>
      </w:r>
    </w:p>
    <w:p w14:paraId="0DA35BCF" w14:textId="77777777" w:rsidR="00E12009" w:rsidRDefault="00E12009" w:rsidP="00E12009">
      <w:pPr>
        <w:spacing w:line="264" w:lineRule="auto"/>
        <w:jc w:val="both"/>
        <w:rPr>
          <w:rFonts w:ascii="Arial" w:eastAsiaTheme="minorHAnsi" w:hAnsi="Arial" w:cs="Arial"/>
          <w:sz w:val="22"/>
          <w:szCs w:val="22"/>
          <w:lang w:eastAsia="en-US"/>
        </w:rPr>
      </w:pPr>
    </w:p>
    <w:p w14:paraId="60352F2F" w14:textId="1296EA81" w:rsidR="00E12009" w:rsidRDefault="00E12009" w:rsidP="00E12009">
      <w:pPr>
        <w:spacing w:line="264" w:lineRule="auto"/>
        <w:jc w:val="both"/>
        <w:rPr>
          <w:rFonts w:ascii="Arial" w:eastAsiaTheme="minorHAnsi" w:hAnsi="Arial" w:cs="Arial"/>
          <w:sz w:val="22"/>
          <w:szCs w:val="22"/>
          <w:lang w:eastAsia="en-US"/>
        </w:rPr>
      </w:pPr>
      <w:r w:rsidRPr="00E12009">
        <w:rPr>
          <w:rFonts w:ascii="Arial" w:eastAsiaTheme="minorHAnsi" w:hAnsi="Arial" w:cs="Arial"/>
          <w:sz w:val="22"/>
          <w:szCs w:val="22"/>
          <w:lang w:eastAsia="en-US"/>
        </w:rPr>
        <w:t>Rozvoj veřejného rozhraní byl jednou z nejrozsáhlejších a nejviditelnějších oblastí Koncepce</w:t>
      </w:r>
      <w:r>
        <w:rPr>
          <w:rFonts w:ascii="Arial" w:eastAsiaTheme="minorHAnsi" w:hAnsi="Arial" w:cs="Arial"/>
          <w:sz w:val="22"/>
          <w:szCs w:val="22"/>
          <w:lang w:eastAsia="en-US"/>
        </w:rPr>
        <w:t xml:space="preserve"> IS VaVaI 2021-2025</w:t>
      </w:r>
      <w:r w:rsidRPr="00E12009">
        <w:rPr>
          <w:rFonts w:ascii="Arial" w:eastAsiaTheme="minorHAnsi" w:hAnsi="Arial" w:cs="Arial"/>
          <w:sz w:val="22"/>
          <w:szCs w:val="22"/>
          <w:lang w:eastAsia="en-US"/>
        </w:rPr>
        <w:t>. V hodnoceném období došlo k výraznému posílení transparentnosti, otevřenosti a uživatelské přívětivosti systému.</w:t>
      </w:r>
    </w:p>
    <w:p w14:paraId="53AD54ED" w14:textId="77777777" w:rsidR="00E12009" w:rsidRPr="00E12009" w:rsidRDefault="00E12009" w:rsidP="00E12009">
      <w:pPr>
        <w:spacing w:line="264" w:lineRule="auto"/>
        <w:jc w:val="both"/>
        <w:rPr>
          <w:rFonts w:ascii="Arial" w:eastAsiaTheme="minorHAnsi" w:hAnsi="Arial" w:cs="Arial"/>
          <w:sz w:val="22"/>
          <w:szCs w:val="22"/>
          <w:lang w:eastAsia="en-US"/>
        </w:rPr>
      </w:pPr>
    </w:p>
    <w:p w14:paraId="73600061" w14:textId="4B32AAD7" w:rsidR="00E12009" w:rsidRDefault="00E12009" w:rsidP="00E12009">
      <w:pPr>
        <w:spacing w:line="264" w:lineRule="auto"/>
        <w:jc w:val="both"/>
        <w:rPr>
          <w:rFonts w:ascii="Arial" w:eastAsiaTheme="minorHAnsi" w:hAnsi="Arial" w:cs="Arial"/>
          <w:sz w:val="22"/>
          <w:szCs w:val="22"/>
          <w:lang w:eastAsia="en-US"/>
        </w:rPr>
      </w:pPr>
      <w:r w:rsidRPr="00E12009">
        <w:rPr>
          <w:rFonts w:ascii="Arial" w:eastAsiaTheme="minorHAnsi" w:hAnsi="Arial" w:cs="Arial"/>
          <w:sz w:val="22"/>
          <w:szCs w:val="22"/>
          <w:lang w:eastAsia="en-US"/>
        </w:rPr>
        <w:lastRenderedPageBreak/>
        <w:t>Mezi klíčové dosažené výsledky patří:</w:t>
      </w:r>
    </w:p>
    <w:p w14:paraId="02632691" w14:textId="77777777" w:rsidR="00E12009" w:rsidRPr="00E12009" w:rsidRDefault="00E12009" w:rsidP="00E12009">
      <w:pPr>
        <w:spacing w:line="264" w:lineRule="auto"/>
        <w:jc w:val="both"/>
        <w:rPr>
          <w:rFonts w:ascii="Arial" w:eastAsiaTheme="minorHAnsi" w:hAnsi="Arial" w:cs="Arial"/>
          <w:sz w:val="22"/>
          <w:szCs w:val="22"/>
          <w:lang w:eastAsia="en-US"/>
        </w:rPr>
      </w:pPr>
    </w:p>
    <w:p w14:paraId="5E8AC918" w14:textId="4F1B9B0F" w:rsidR="0000157E" w:rsidRDefault="0000157E" w:rsidP="003B3110">
      <w:pPr>
        <w:pStyle w:val="Odstavecseseznamem"/>
        <w:numPr>
          <w:ilvl w:val="0"/>
          <w:numId w:val="2"/>
        </w:numPr>
        <w:spacing w:line="264" w:lineRule="auto"/>
        <w:jc w:val="both"/>
        <w:rPr>
          <w:rFonts w:ascii="Arial" w:eastAsiaTheme="minorHAnsi" w:hAnsi="Arial" w:cs="Arial"/>
          <w:sz w:val="22"/>
          <w:szCs w:val="22"/>
          <w:lang w:eastAsia="en-US"/>
        </w:rPr>
      </w:pPr>
      <w:r>
        <w:rPr>
          <w:rFonts w:ascii="Arial" w:eastAsiaTheme="minorHAnsi" w:hAnsi="Arial" w:cs="Arial"/>
          <w:sz w:val="22"/>
          <w:szCs w:val="22"/>
          <w:lang w:eastAsia="en-US"/>
        </w:rPr>
        <w:t>m</w:t>
      </w:r>
      <w:r w:rsidRPr="0000157E">
        <w:rPr>
          <w:rFonts w:ascii="Arial" w:eastAsiaTheme="minorHAnsi" w:hAnsi="Arial" w:cs="Arial"/>
          <w:sz w:val="22"/>
          <w:szCs w:val="22"/>
          <w:lang w:eastAsia="en-US"/>
        </w:rPr>
        <w:t>igrace na novou doménu ISVAVAI.cz s modernizovaným designem</w:t>
      </w:r>
      <w:r>
        <w:rPr>
          <w:rFonts w:ascii="Arial" w:eastAsiaTheme="minorHAnsi" w:hAnsi="Arial" w:cs="Arial"/>
          <w:sz w:val="22"/>
          <w:szCs w:val="22"/>
          <w:lang w:eastAsia="en-US"/>
        </w:rPr>
        <w:t>,</w:t>
      </w:r>
    </w:p>
    <w:p w14:paraId="44FB6F11" w14:textId="4D2D510A" w:rsidR="00E12009" w:rsidRPr="00FE48C4" w:rsidRDefault="00E12009" w:rsidP="003B3110">
      <w:pPr>
        <w:pStyle w:val="Odstavecseseznamem"/>
        <w:numPr>
          <w:ilvl w:val="0"/>
          <w:numId w:val="2"/>
        </w:numPr>
        <w:spacing w:line="264" w:lineRule="auto"/>
        <w:jc w:val="both"/>
        <w:rPr>
          <w:rFonts w:ascii="Arial" w:eastAsiaTheme="minorHAnsi" w:hAnsi="Arial" w:cs="Arial"/>
          <w:sz w:val="22"/>
          <w:szCs w:val="22"/>
          <w:lang w:eastAsia="en-US"/>
        </w:rPr>
      </w:pPr>
      <w:r w:rsidRPr="00FE48C4">
        <w:rPr>
          <w:rFonts w:ascii="Arial" w:eastAsiaTheme="minorHAnsi" w:hAnsi="Arial" w:cs="Arial"/>
          <w:sz w:val="22"/>
          <w:szCs w:val="22"/>
          <w:lang w:eastAsia="en-US"/>
        </w:rPr>
        <w:t>rozšíření a modernizace grafických a analytických modulů,</w:t>
      </w:r>
    </w:p>
    <w:p w14:paraId="7CE0B351" w14:textId="1AF81B84" w:rsidR="00E12009" w:rsidRPr="00FE48C4" w:rsidRDefault="00E12009" w:rsidP="003B3110">
      <w:pPr>
        <w:pStyle w:val="Odstavecseseznamem"/>
        <w:numPr>
          <w:ilvl w:val="0"/>
          <w:numId w:val="2"/>
        </w:numPr>
        <w:spacing w:line="264" w:lineRule="auto"/>
        <w:jc w:val="both"/>
        <w:rPr>
          <w:rFonts w:ascii="Arial" w:eastAsiaTheme="minorHAnsi" w:hAnsi="Arial" w:cs="Arial"/>
          <w:sz w:val="22"/>
          <w:szCs w:val="22"/>
          <w:lang w:eastAsia="en-US"/>
        </w:rPr>
      </w:pPr>
      <w:r w:rsidRPr="00FE48C4">
        <w:rPr>
          <w:rFonts w:ascii="Arial" w:eastAsiaTheme="minorHAnsi" w:hAnsi="Arial" w:cs="Arial"/>
          <w:sz w:val="22"/>
          <w:szCs w:val="22"/>
          <w:lang w:eastAsia="en-US"/>
        </w:rPr>
        <w:t>zavedení nových interaktivních analýz,</w:t>
      </w:r>
    </w:p>
    <w:p w14:paraId="534C29F4" w14:textId="5754475B" w:rsidR="00E12009" w:rsidRPr="00FE48C4" w:rsidRDefault="00E12009" w:rsidP="003B3110">
      <w:pPr>
        <w:pStyle w:val="Odstavecseseznamem"/>
        <w:numPr>
          <w:ilvl w:val="0"/>
          <w:numId w:val="2"/>
        </w:numPr>
        <w:spacing w:line="264" w:lineRule="auto"/>
        <w:jc w:val="both"/>
        <w:rPr>
          <w:rFonts w:ascii="Arial" w:eastAsiaTheme="minorHAnsi" w:hAnsi="Arial" w:cs="Arial"/>
          <w:sz w:val="22"/>
          <w:szCs w:val="22"/>
          <w:lang w:eastAsia="en-US"/>
        </w:rPr>
      </w:pPr>
      <w:r w:rsidRPr="00FE48C4">
        <w:rPr>
          <w:rFonts w:ascii="Arial" w:eastAsiaTheme="minorHAnsi" w:hAnsi="Arial" w:cs="Arial"/>
          <w:sz w:val="22"/>
          <w:szCs w:val="22"/>
          <w:lang w:eastAsia="en-US"/>
        </w:rPr>
        <w:t>zpřístupnění dat ve strojově čitelných formátech,</w:t>
      </w:r>
    </w:p>
    <w:p w14:paraId="2BF2557A" w14:textId="7B055A99" w:rsidR="00E12009" w:rsidRPr="00FE48C4" w:rsidRDefault="00E12009" w:rsidP="003B3110">
      <w:pPr>
        <w:pStyle w:val="Odstavecseseznamem"/>
        <w:numPr>
          <w:ilvl w:val="0"/>
          <w:numId w:val="2"/>
        </w:numPr>
        <w:spacing w:line="264" w:lineRule="auto"/>
        <w:jc w:val="both"/>
        <w:rPr>
          <w:rFonts w:ascii="Arial" w:eastAsiaTheme="minorHAnsi" w:hAnsi="Arial" w:cs="Arial"/>
          <w:sz w:val="22"/>
          <w:szCs w:val="22"/>
          <w:lang w:eastAsia="en-US"/>
        </w:rPr>
      </w:pPr>
      <w:r w:rsidRPr="00FE48C4">
        <w:rPr>
          <w:rFonts w:ascii="Arial" w:eastAsiaTheme="minorHAnsi" w:hAnsi="Arial" w:cs="Arial"/>
          <w:sz w:val="22"/>
          <w:szCs w:val="22"/>
          <w:lang w:eastAsia="en-US"/>
        </w:rPr>
        <w:t xml:space="preserve">implementace Rejstříku výzkumných pracovníků </w:t>
      </w:r>
      <w:r w:rsidR="0000157E">
        <w:rPr>
          <w:rFonts w:ascii="Arial" w:eastAsiaTheme="minorHAnsi" w:hAnsi="Arial" w:cs="Arial"/>
          <w:sz w:val="22"/>
          <w:szCs w:val="22"/>
          <w:lang w:eastAsia="en-US"/>
        </w:rPr>
        <w:t xml:space="preserve">(RVP) </w:t>
      </w:r>
      <w:r w:rsidRPr="00FE48C4">
        <w:rPr>
          <w:rFonts w:ascii="Arial" w:eastAsiaTheme="minorHAnsi" w:hAnsi="Arial" w:cs="Arial"/>
          <w:sz w:val="22"/>
          <w:szCs w:val="22"/>
          <w:lang w:eastAsia="en-US"/>
        </w:rPr>
        <w:t>jako nového veřejného modulu.</w:t>
      </w:r>
    </w:p>
    <w:p w14:paraId="2F35AD9A" w14:textId="77777777" w:rsidR="00FF79C8" w:rsidRPr="00E12009" w:rsidRDefault="00FF79C8" w:rsidP="00E12009">
      <w:pPr>
        <w:spacing w:line="264" w:lineRule="auto"/>
        <w:jc w:val="both"/>
        <w:rPr>
          <w:rFonts w:ascii="Arial" w:eastAsiaTheme="minorHAnsi" w:hAnsi="Arial" w:cs="Arial"/>
          <w:sz w:val="22"/>
          <w:szCs w:val="22"/>
          <w:lang w:eastAsia="en-US"/>
        </w:rPr>
      </w:pPr>
    </w:p>
    <w:p w14:paraId="0AC5E903" w14:textId="661C6BE2" w:rsidR="00E12009" w:rsidRPr="00E12009" w:rsidRDefault="00E12009" w:rsidP="00E12009">
      <w:pPr>
        <w:spacing w:line="264" w:lineRule="auto"/>
        <w:jc w:val="both"/>
        <w:rPr>
          <w:rFonts w:ascii="Arial" w:eastAsiaTheme="minorHAnsi" w:hAnsi="Arial" w:cs="Arial"/>
          <w:sz w:val="22"/>
          <w:szCs w:val="22"/>
          <w:lang w:eastAsia="en-US"/>
        </w:rPr>
      </w:pPr>
      <w:r w:rsidRPr="00E12009">
        <w:rPr>
          <w:rFonts w:ascii="Arial" w:eastAsiaTheme="minorHAnsi" w:hAnsi="Arial" w:cs="Arial"/>
          <w:sz w:val="22"/>
          <w:szCs w:val="22"/>
          <w:lang w:eastAsia="en-US"/>
        </w:rPr>
        <w:t>Některá opatření (např. anglická jazyková mutace) nebyla v hodnoceném období realizována. Tyto skutečnosti však byly transparentně zdůvodněny a vyplývaly především z</w:t>
      </w:r>
      <w:r>
        <w:rPr>
          <w:rFonts w:ascii="Arial" w:eastAsiaTheme="minorHAnsi" w:hAnsi="Arial" w:cs="Arial"/>
          <w:sz w:val="22"/>
          <w:szCs w:val="22"/>
          <w:lang w:eastAsia="en-US"/>
        </w:rPr>
        <w:t> </w:t>
      </w:r>
      <w:r w:rsidRPr="00E12009">
        <w:rPr>
          <w:rFonts w:ascii="Arial" w:eastAsiaTheme="minorHAnsi" w:hAnsi="Arial" w:cs="Arial"/>
          <w:sz w:val="22"/>
          <w:szCs w:val="22"/>
          <w:lang w:eastAsia="en-US"/>
        </w:rPr>
        <w:t>prioritizace kapacit ve prospěch opatření s přímým dopadem na stabilitu, bezpečnost a</w:t>
      </w:r>
      <w:r>
        <w:rPr>
          <w:rFonts w:ascii="Arial" w:eastAsiaTheme="minorHAnsi" w:hAnsi="Arial" w:cs="Arial"/>
          <w:sz w:val="22"/>
          <w:szCs w:val="22"/>
          <w:lang w:eastAsia="en-US"/>
        </w:rPr>
        <w:t> </w:t>
      </w:r>
      <w:r w:rsidRPr="00E12009">
        <w:rPr>
          <w:rFonts w:ascii="Arial" w:eastAsiaTheme="minorHAnsi" w:hAnsi="Arial" w:cs="Arial"/>
          <w:sz w:val="22"/>
          <w:szCs w:val="22"/>
          <w:lang w:eastAsia="en-US"/>
        </w:rPr>
        <w:t>legislativní připravenost systému. Z pohledu metodiky veřejných strategií se jedná o</w:t>
      </w:r>
      <w:r>
        <w:rPr>
          <w:rFonts w:ascii="Arial" w:eastAsiaTheme="minorHAnsi" w:hAnsi="Arial" w:cs="Arial"/>
          <w:sz w:val="22"/>
          <w:szCs w:val="22"/>
          <w:lang w:eastAsia="en-US"/>
        </w:rPr>
        <w:t> </w:t>
      </w:r>
      <w:r w:rsidRPr="00E12009">
        <w:rPr>
          <w:rFonts w:ascii="Arial" w:eastAsiaTheme="minorHAnsi" w:hAnsi="Arial" w:cs="Arial"/>
          <w:sz w:val="22"/>
          <w:szCs w:val="22"/>
          <w:lang w:eastAsia="en-US"/>
        </w:rPr>
        <w:t>racionální řízení portfolia opatření, nikoli o systémové selhání.</w:t>
      </w:r>
    </w:p>
    <w:p w14:paraId="679C81F8" w14:textId="77777777" w:rsidR="00E12009" w:rsidRDefault="00E12009" w:rsidP="00E12009">
      <w:pPr>
        <w:spacing w:line="264" w:lineRule="auto"/>
        <w:jc w:val="both"/>
        <w:rPr>
          <w:rFonts w:ascii="Arial" w:eastAsiaTheme="minorHAnsi" w:hAnsi="Arial" w:cs="Arial"/>
          <w:sz w:val="22"/>
          <w:szCs w:val="22"/>
          <w:lang w:eastAsia="en-US"/>
        </w:rPr>
      </w:pPr>
    </w:p>
    <w:p w14:paraId="2DFAFAD7" w14:textId="77777777" w:rsidR="00FF79C8" w:rsidRPr="00FF79C8" w:rsidRDefault="00FF79C8" w:rsidP="00FF79C8">
      <w:pPr>
        <w:pBdr>
          <w:top w:val="single" w:sz="4" w:space="1" w:color="auto"/>
          <w:left w:val="single" w:sz="4" w:space="4" w:color="auto"/>
          <w:bottom w:val="single" w:sz="4" w:space="1" w:color="auto"/>
          <w:right w:val="single" w:sz="4" w:space="4" w:color="auto"/>
        </w:pBdr>
        <w:spacing w:line="264" w:lineRule="auto"/>
        <w:jc w:val="both"/>
        <w:rPr>
          <w:rFonts w:ascii="Arial" w:eastAsiaTheme="minorHAnsi" w:hAnsi="Arial" w:cs="Arial"/>
          <w:sz w:val="22"/>
          <w:szCs w:val="22"/>
          <w:lang w:eastAsia="en-US"/>
        </w:rPr>
      </w:pPr>
      <w:r w:rsidRPr="00FF79C8">
        <w:rPr>
          <w:rFonts w:ascii="Arial" w:eastAsiaTheme="minorHAnsi" w:hAnsi="Arial" w:cs="Arial"/>
          <w:b/>
          <w:bCs/>
          <w:sz w:val="22"/>
          <w:szCs w:val="22"/>
          <w:lang w:eastAsia="en-US"/>
        </w:rPr>
        <w:t>Plnění:</w:t>
      </w:r>
      <w:r w:rsidRPr="00FF79C8">
        <w:rPr>
          <w:rFonts w:ascii="Arial" w:eastAsiaTheme="minorHAnsi" w:hAnsi="Arial" w:cs="Arial"/>
          <w:sz w:val="22"/>
          <w:szCs w:val="22"/>
          <w:lang w:eastAsia="en-US"/>
        </w:rPr>
        <w:t xml:space="preserve"> 17 indikátorů, z toho </w:t>
      </w:r>
      <w:r w:rsidRPr="00FF79C8">
        <w:rPr>
          <w:rFonts w:ascii="Arial" w:eastAsiaTheme="minorHAnsi" w:hAnsi="Arial" w:cs="Arial"/>
          <w:b/>
          <w:bCs/>
          <w:sz w:val="22"/>
          <w:szCs w:val="22"/>
          <w:lang w:eastAsia="en-US"/>
        </w:rPr>
        <w:t>12 ANO (70,6 %)</w:t>
      </w:r>
      <w:r w:rsidRPr="00FF79C8">
        <w:rPr>
          <w:rFonts w:ascii="Arial" w:eastAsiaTheme="minorHAnsi" w:hAnsi="Arial" w:cs="Arial"/>
          <w:sz w:val="22"/>
          <w:szCs w:val="22"/>
          <w:lang w:eastAsia="en-US"/>
        </w:rPr>
        <w:t xml:space="preserve">, </w:t>
      </w:r>
      <w:r w:rsidRPr="00FF79C8">
        <w:rPr>
          <w:rFonts w:ascii="Arial" w:eastAsiaTheme="minorHAnsi" w:hAnsi="Arial" w:cs="Arial"/>
          <w:b/>
          <w:bCs/>
          <w:sz w:val="22"/>
          <w:szCs w:val="22"/>
          <w:lang w:eastAsia="en-US"/>
        </w:rPr>
        <w:t>1 ČÁSTEČNĚ (5,9 %)</w:t>
      </w:r>
      <w:r w:rsidRPr="00FF79C8">
        <w:rPr>
          <w:rFonts w:ascii="Arial" w:eastAsiaTheme="minorHAnsi" w:hAnsi="Arial" w:cs="Arial"/>
          <w:sz w:val="22"/>
          <w:szCs w:val="22"/>
          <w:lang w:eastAsia="en-US"/>
        </w:rPr>
        <w:t xml:space="preserve">, </w:t>
      </w:r>
      <w:r w:rsidRPr="00FF79C8">
        <w:rPr>
          <w:rFonts w:ascii="Arial" w:eastAsiaTheme="minorHAnsi" w:hAnsi="Arial" w:cs="Arial"/>
          <w:b/>
          <w:bCs/>
          <w:sz w:val="22"/>
          <w:szCs w:val="22"/>
          <w:lang w:eastAsia="en-US"/>
        </w:rPr>
        <w:t>4 NE (23,5 %)</w:t>
      </w:r>
      <w:r w:rsidRPr="00FF79C8">
        <w:rPr>
          <w:rFonts w:ascii="Arial" w:eastAsiaTheme="minorHAnsi" w:hAnsi="Arial" w:cs="Arial"/>
          <w:sz w:val="22"/>
          <w:szCs w:val="22"/>
          <w:lang w:eastAsia="en-US"/>
        </w:rPr>
        <w:t xml:space="preserve">. Vážené plnění: </w:t>
      </w:r>
      <w:r w:rsidRPr="00FF79C8">
        <w:rPr>
          <w:rFonts w:ascii="Arial" w:eastAsiaTheme="minorHAnsi" w:hAnsi="Arial" w:cs="Arial"/>
          <w:b/>
          <w:bCs/>
          <w:color w:val="76923C" w:themeColor="accent3" w:themeShade="BF"/>
          <w:sz w:val="22"/>
          <w:szCs w:val="22"/>
          <w:lang w:eastAsia="en-US"/>
        </w:rPr>
        <w:t>73,5 %</w:t>
      </w:r>
      <w:r w:rsidRPr="00FF79C8">
        <w:rPr>
          <w:rFonts w:ascii="Arial" w:eastAsiaTheme="minorHAnsi" w:hAnsi="Arial" w:cs="Arial"/>
          <w:sz w:val="22"/>
          <w:szCs w:val="22"/>
          <w:lang w:eastAsia="en-US"/>
        </w:rPr>
        <w:t>.</w:t>
      </w:r>
    </w:p>
    <w:p w14:paraId="07861923" w14:textId="77777777" w:rsidR="00FF79C8" w:rsidRDefault="00FF79C8" w:rsidP="00E12009">
      <w:pPr>
        <w:spacing w:line="264" w:lineRule="auto"/>
        <w:jc w:val="both"/>
        <w:rPr>
          <w:rFonts w:ascii="Arial" w:eastAsiaTheme="minorHAnsi" w:hAnsi="Arial" w:cs="Arial"/>
          <w:sz w:val="22"/>
          <w:szCs w:val="22"/>
          <w:lang w:eastAsia="en-US"/>
        </w:rPr>
      </w:pPr>
    </w:p>
    <w:p w14:paraId="6588DAB3" w14:textId="1064D683" w:rsidR="00E12009" w:rsidRPr="00E12009" w:rsidRDefault="00E12009" w:rsidP="00E12009">
      <w:pPr>
        <w:spacing w:line="264" w:lineRule="auto"/>
        <w:jc w:val="both"/>
        <w:rPr>
          <w:rFonts w:ascii="Arial" w:eastAsiaTheme="minorHAnsi" w:hAnsi="Arial" w:cs="Arial"/>
          <w:sz w:val="22"/>
          <w:szCs w:val="22"/>
          <w:lang w:eastAsia="en-US"/>
        </w:rPr>
      </w:pPr>
      <w:r w:rsidRPr="00E12009">
        <w:rPr>
          <w:rFonts w:ascii="Arial" w:eastAsiaTheme="minorHAnsi" w:hAnsi="Arial" w:cs="Arial"/>
          <w:sz w:val="22"/>
          <w:szCs w:val="22"/>
          <w:lang w:eastAsia="en-US"/>
        </w:rPr>
        <w:t>Celkově lze oblast veřejného rozhraní hodnotit jako velmi úspěšně naplněnou, s výrazným pozitivním dopadem na dostupnost informací o VaVaI.</w:t>
      </w:r>
    </w:p>
    <w:p w14:paraId="4704B656" w14:textId="77777777" w:rsidR="00E12009" w:rsidRDefault="00E12009" w:rsidP="00E12009">
      <w:pPr>
        <w:spacing w:line="264" w:lineRule="auto"/>
        <w:jc w:val="both"/>
        <w:rPr>
          <w:rFonts w:ascii="Arial" w:eastAsiaTheme="minorHAnsi" w:hAnsi="Arial" w:cs="Arial"/>
          <w:sz w:val="22"/>
          <w:szCs w:val="22"/>
          <w:lang w:eastAsia="en-US"/>
        </w:rPr>
      </w:pPr>
    </w:p>
    <w:p w14:paraId="4644FCA3" w14:textId="25DCA94E" w:rsidR="00E12009" w:rsidRPr="00E12009" w:rsidRDefault="00453DFB" w:rsidP="00E12009">
      <w:pPr>
        <w:spacing w:line="264" w:lineRule="auto"/>
        <w:jc w:val="both"/>
        <w:rPr>
          <w:rFonts w:ascii="Arial" w:eastAsiaTheme="minorHAnsi" w:hAnsi="Arial" w:cs="Arial"/>
          <w:b/>
          <w:bCs/>
          <w:color w:val="4F81BD" w:themeColor="accent1"/>
          <w:sz w:val="22"/>
          <w:szCs w:val="22"/>
          <w:lang w:eastAsia="en-US"/>
        </w:rPr>
      </w:pPr>
      <w:r>
        <w:rPr>
          <w:rFonts w:ascii="Arial" w:eastAsiaTheme="minorHAnsi" w:hAnsi="Arial" w:cs="Arial"/>
          <w:b/>
          <w:bCs/>
          <w:color w:val="4F81BD" w:themeColor="accent1"/>
          <w:sz w:val="22"/>
          <w:szCs w:val="22"/>
          <w:lang w:eastAsia="en-US"/>
        </w:rPr>
        <w:t>3</w:t>
      </w:r>
      <w:r w:rsidR="00E12009" w:rsidRPr="00E12009">
        <w:rPr>
          <w:rFonts w:ascii="Arial" w:eastAsiaTheme="minorHAnsi" w:hAnsi="Arial" w:cs="Arial"/>
          <w:b/>
          <w:bCs/>
          <w:color w:val="4F81BD" w:themeColor="accent1"/>
          <w:sz w:val="22"/>
          <w:szCs w:val="22"/>
          <w:lang w:eastAsia="en-US"/>
        </w:rPr>
        <w:t>.3 Uživatelská rozhraní a uživatelská podpora</w:t>
      </w:r>
    </w:p>
    <w:p w14:paraId="4EECCAC1" w14:textId="77777777" w:rsidR="00E12009" w:rsidRPr="00E12009" w:rsidRDefault="00E12009" w:rsidP="00E12009">
      <w:pPr>
        <w:spacing w:line="264" w:lineRule="auto"/>
        <w:jc w:val="both"/>
        <w:rPr>
          <w:rFonts w:ascii="Arial" w:eastAsiaTheme="minorHAnsi" w:hAnsi="Arial" w:cs="Arial"/>
          <w:sz w:val="22"/>
          <w:szCs w:val="22"/>
          <w:lang w:eastAsia="en-US"/>
        </w:rPr>
      </w:pPr>
    </w:p>
    <w:p w14:paraId="5F9CC664" w14:textId="77777777" w:rsidR="00E12009" w:rsidRDefault="00E12009" w:rsidP="00E12009">
      <w:pPr>
        <w:spacing w:line="264" w:lineRule="auto"/>
        <w:jc w:val="both"/>
        <w:rPr>
          <w:rFonts w:ascii="Arial" w:eastAsiaTheme="minorHAnsi" w:hAnsi="Arial" w:cs="Arial"/>
          <w:sz w:val="22"/>
          <w:szCs w:val="22"/>
          <w:lang w:eastAsia="en-US"/>
        </w:rPr>
      </w:pPr>
      <w:r w:rsidRPr="00E12009">
        <w:rPr>
          <w:rFonts w:ascii="Arial" w:eastAsiaTheme="minorHAnsi" w:hAnsi="Arial" w:cs="Arial"/>
          <w:sz w:val="22"/>
          <w:szCs w:val="22"/>
          <w:lang w:eastAsia="en-US"/>
        </w:rPr>
        <w:t>V této strategické oblasti byla pozornost věnována zejména zjednodušení procesů, snížení administrativní zátěže a posílení uživatelské podpory. Byly realizovány:</w:t>
      </w:r>
    </w:p>
    <w:p w14:paraId="2C46A633" w14:textId="77777777" w:rsidR="00E12009" w:rsidRPr="00E12009" w:rsidRDefault="00E12009" w:rsidP="00E12009">
      <w:pPr>
        <w:spacing w:line="264" w:lineRule="auto"/>
        <w:jc w:val="both"/>
        <w:rPr>
          <w:rFonts w:ascii="Arial" w:eastAsiaTheme="minorHAnsi" w:hAnsi="Arial" w:cs="Arial"/>
          <w:sz w:val="22"/>
          <w:szCs w:val="22"/>
          <w:lang w:eastAsia="en-US"/>
        </w:rPr>
      </w:pPr>
    </w:p>
    <w:p w14:paraId="1C73C79E" w14:textId="347ECB8F" w:rsidR="00E12009" w:rsidRPr="00FE48C4" w:rsidRDefault="00E12009" w:rsidP="003B3110">
      <w:pPr>
        <w:pStyle w:val="Odstavecseseznamem"/>
        <w:numPr>
          <w:ilvl w:val="0"/>
          <w:numId w:val="3"/>
        </w:numPr>
        <w:spacing w:line="264" w:lineRule="auto"/>
        <w:jc w:val="both"/>
        <w:rPr>
          <w:rFonts w:ascii="Arial" w:eastAsiaTheme="minorHAnsi" w:hAnsi="Arial" w:cs="Arial"/>
          <w:sz w:val="22"/>
          <w:szCs w:val="22"/>
          <w:lang w:eastAsia="en-US"/>
        </w:rPr>
      </w:pPr>
      <w:r w:rsidRPr="00FE48C4">
        <w:rPr>
          <w:rFonts w:ascii="Arial" w:eastAsiaTheme="minorHAnsi" w:hAnsi="Arial" w:cs="Arial"/>
          <w:sz w:val="22"/>
          <w:szCs w:val="22"/>
          <w:lang w:eastAsia="en-US"/>
        </w:rPr>
        <w:t>úpravy procesů předávání dat směrem k online řešením</w:t>
      </w:r>
      <w:r w:rsidR="00FE48C4" w:rsidRPr="00FE48C4">
        <w:rPr>
          <w:rFonts w:ascii="Arial" w:eastAsiaTheme="minorHAnsi" w:hAnsi="Arial" w:cs="Arial"/>
          <w:sz w:val="22"/>
          <w:szCs w:val="22"/>
          <w:lang w:eastAsia="en-US"/>
        </w:rPr>
        <w:t xml:space="preserve"> (např. zavedení online předávání dat místo dávkového sběru</w:t>
      </w:r>
      <w:r w:rsidR="00FE48C4">
        <w:rPr>
          <w:rFonts w:ascii="Arial" w:eastAsiaTheme="minorHAnsi" w:hAnsi="Arial" w:cs="Arial"/>
          <w:sz w:val="22"/>
          <w:szCs w:val="22"/>
          <w:lang w:eastAsia="en-US"/>
        </w:rPr>
        <w:t>)</w:t>
      </w:r>
      <w:r w:rsidRPr="00FE48C4">
        <w:rPr>
          <w:rFonts w:ascii="Arial" w:eastAsiaTheme="minorHAnsi" w:hAnsi="Arial" w:cs="Arial"/>
          <w:sz w:val="22"/>
          <w:szCs w:val="22"/>
          <w:lang w:eastAsia="en-US"/>
        </w:rPr>
        <w:t>,</w:t>
      </w:r>
    </w:p>
    <w:p w14:paraId="2506109E" w14:textId="77777777" w:rsidR="00FE48C4" w:rsidRPr="00FE48C4" w:rsidRDefault="00FE48C4" w:rsidP="003B3110">
      <w:pPr>
        <w:pStyle w:val="Odstavecseseznamem"/>
        <w:numPr>
          <w:ilvl w:val="0"/>
          <w:numId w:val="3"/>
        </w:numPr>
        <w:spacing w:line="264" w:lineRule="auto"/>
        <w:jc w:val="both"/>
        <w:rPr>
          <w:rFonts w:ascii="Arial" w:eastAsiaTheme="minorHAnsi" w:hAnsi="Arial" w:cs="Arial"/>
          <w:sz w:val="22"/>
          <w:szCs w:val="22"/>
          <w:lang w:eastAsia="en-US"/>
        </w:rPr>
      </w:pPr>
      <w:r>
        <w:rPr>
          <w:rFonts w:ascii="Arial" w:eastAsiaTheme="minorHAnsi" w:hAnsi="Arial" w:cs="Arial"/>
          <w:sz w:val="22"/>
          <w:szCs w:val="22"/>
          <w:lang w:eastAsia="en-US"/>
        </w:rPr>
        <w:t>i</w:t>
      </w:r>
      <w:r w:rsidRPr="00FE48C4">
        <w:rPr>
          <w:rFonts w:ascii="Arial" w:eastAsiaTheme="minorHAnsi" w:hAnsi="Arial" w:cs="Arial"/>
          <w:sz w:val="22"/>
          <w:szCs w:val="22"/>
          <w:lang w:eastAsia="en-US"/>
        </w:rPr>
        <w:t xml:space="preserve">mplementace </w:t>
      </w:r>
      <w:proofErr w:type="spellStart"/>
      <w:r w:rsidRPr="00FE48C4">
        <w:rPr>
          <w:rFonts w:ascii="Arial" w:eastAsiaTheme="minorHAnsi" w:hAnsi="Arial" w:cs="Arial"/>
          <w:sz w:val="22"/>
          <w:szCs w:val="22"/>
          <w:lang w:eastAsia="en-US"/>
        </w:rPr>
        <w:t>vícefaktorové</w:t>
      </w:r>
      <w:proofErr w:type="spellEnd"/>
      <w:r w:rsidRPr="00FE48C4">
        <w:rPr>
          <w:rFonts w:ascii="Arial" w:eastAsiaTheme="minorHAnsi" w:hAnsi="Arial" w:cs="Arial"/>
          <w:sz w:val="22"/>
          <w:szCs w:val="22"/>
          <w:lang w:eastAsia="en-US"/>
        </w:rPr>
        <w:t xml:space="preserve"> autentizace (2FA) pro vyšší bezpečnost</w:t>
      </w:r>
      <w:r>
        <w:rPr>
          <w:rFonts w:ascii="Arial" w:eastAsiaTheme="minorHAnsi" w:hAnsi="Arial" w:cs="Arial"/>
          <w:sz w:val="22"/>
          <w:szCs w:val="22"/>
          <w:lang w:eastAsia="en-US"/>
        </w:rPr>
        <w:t>,</w:t>
      </w:r>
    </w:p>
    <w:p w14:paraId="20BDB159" w14:textId="7D4410B3" w:rsidR="00E12009" w:rsidRDefault="00E12009" w:rsidP="003B3110">
      <w:pPr>
        <w:pStyle w:val="Odstavecseseznamem"/>
        <w:numPr>
          <w:ilvl w:val="0"/>
          <w:numId w:val="3"/>
        </w:numPr>
        <w:spacing w:line="264" w:lineRule="auto"/>
        <w:jc w:val="both"/>
        <w:rPr>
          <w:rFonts w:ascii="Arial" w:eastAsiaTheme="minorHAnsi" w:hAnsi="Arial" w:cs="Arial"/>
          <w:sz w:val="22"/>
          <w:szCs w:val="22"/>
          <w:lang w:eastAsia="en-US"/>
        </w:rPr>
      </w:pPr>
      <w:r w:rsidRPr="00FE48C4">
        <w:rPr>
          <w:rFonts w:ascii="Arial" w:eastAsiaTheme="minorHAnsi" w:hAnsi="Arial" w:cs="Arial"/>
          <w:sz w:val="22"/>
          <w:szCs w:val="22"/>
          <w:lang w:eastAsia="en-US"/>
        </w:rPr>
        <w:t>rozvoj integrovaných kontrolních mechanismů,</w:t>
      </w:r>
    </w:p>
    <w:p w14:paraId="2849589C" w14:textId="258D86F4" w:rsidR="00E12009" w:rsidRPr="00FE48C4" w:rsidRDefault="00E12009" w:rsidP="003B3110">
      <w:pPr>
        <w:pStyle w:val="Odstavecseseznamem"/>
        <w:numPr>
          <w:ilvl w:val="0"/>
          <w:numId w:val="3"/>
        </w:numPr>
        <w:spacing w:line="264" w:lineRule="auto"/>
        <w:jc w:val="both"/>
        <w:rPr>
          <w:rFonts w:ascii="Arial" w:eastAsiaTheme="minorHAnsi" w:hAnsi="Arial" w:cs="Arial"/>
          <w:sz w:val="22"/>
          <w:szCs w:val="22"/>
          <w:lang w:eastAsia="en-US"/>
        </w:rPr>
      </w:pPr>
      <w:r w:rsidRPr="00FE48C4">
        <w:rPr>
          <w:rFonts w:ascii="Arial" w:eastAsiaTheme="minorHAnsi" w:hAnsi="Arial" w:cs="Arial"/>
          <w:sz w:val="22"/>
          <w:szCs w:val="22"/>
          <w:lang w:eastAsia="en-US"/>
        </w:rPr>
        <w:t>vznik instruktážních a podpůrných materiálů (včetně instruktážních videí).</w:t>
      </w:r>
    </w:p>
    <w:p w14:paraId="4CC3D1F4" w14:textId="77777777" w:rsidR="00E12009" w:rsidRDefault="00E12009" w:rsidP="00E12009">
      <w:pPr>
        <w:spacing w:line="264" w:lineRule="auto"/>
        <w:jc w:val="both"/>
        <w:rPr>
          <w:rFonts w:ascii="Arial" w:eastAsiaTheme="minorHAnsi" w:hAnsi="Arial" w:cs="Arial"/>
          <w:sz w:val="22"/>
          <w:szCs w:val="22"/>
          <w:lang w:eastAsia="en-US"/>
        </w:rPr>
      </w:pPr>
    </w:p>
    <w:p w14:paraId="20D911C5" w14:textId="0F2234B8" w:rsidR="00E12009" w:rsidRPr="00E12009" w:rsidRDefault="00E12009" w:rsidP="00E12009">
      <w:pPr>
        <w:spacing w:line="264" w:lineRule="auto"/>
        <w:jc w:val="both"/>
        <w:rPr>
          <w:rFonts w:ascii="Arial" w:eastAsiaTheme="minorHAnsi" w:hAnsi="Arial" w:cs="Arial"/>
          <w:sz w:val="22"/>
          <w:szCs w:val="22"/>
          <w:lang w:eastAsia="en-US"/>
        </w:rPr>
      </w:pPr>
      <w:r w:rsidRPr="00E12009">
        <w:rPr>
          <w:rFonts w:ascii="Arial" w:eastAsiaTheme="minorHAnsi" w:hAnsi="Arial" w:cs="Arial"/>
          <w:sz w:val="22"/>
          <w:szCs w:val="22"/>
          <w:lang w:eastAsia="en-US"/>
        </w:rPr>
        <w:t>Zavedení</w:t>
      </w:r>
      <w:r w:rsidR="00BB5EF6">
        <w:rPr>
          <w:rFonts w:ascii="Arial" w:eastAsiaTheme="minorHAnsi" w:hAnsi="Arial" w:cs="Arial"/>
          <w:sz w:val="22"/>
          <w:szCs w:val="22"/>
          <w:lang w:eastAsia="en-US"/>
        </w:rPr>
        <w:t xml:space="preserve"> </w:t>
      </w:r>
      <w:proofErr w:type="spellStart"/>
      <w:r w:rsidRPr="00E12009">
        <w:rPr>
          <w:rFonts w:ascii="Arial" w:eastAsiaTheme="minorHAnsi" w:hAnsi="Arial" w:cs="Arial"/>
          <w:sz w:val="22"/>
          <w:szCs w:val="22"/>
          <w:lang w:eastAsia="en-US"/>
        </w:rPr>
        <w:t>vícefaktorové</w:t>
      </w:r>
      <w:proofErr w:type="spellEnd"/>
      <w:r w:rsidRPr="00E12009">
        <w:rPr>
          <w:rFonts w:ascii="Arial" w:eastAsiaTheme="minorHAnsi" w:hAnsi="Arial" w:cs="Arial"/>
          <w:sz w:val="22"/>
          <w:szCs w:val="22"/>
          <w:lang w:eastAsia="en-US"/>
        </w:rPr>
        <w:t xml:space="preserve"> autentizace (2FA) významně přispělo k bezpečnosti a</w:t>
      </w:r>
      <w:r w:rsidR="00BB5EF6">
        <w:rPr>
          <w:rFonts w:ascii="Arial" w:eastAsiaTheme="minorHAnsi" w:hAnsi="Arial" w:cs="Arial"/>
          <w:sz w:val="22"/>
          <w:szCs w:val="22"/>
          <w:lang w:eastAsia="en-US"/>
        </w:rPr>
        <w:t> </w:t>
      </w:r>
      <w:r w:rsidRPr="00E12009">
        <w:rPr>
          <w:rFonts w:ascii="Arial" w:eastAsiaTheme="minorHAnsi" w:hAnsi="Arial" w:cs="Arial"/>
          <w:sz w:val="22"/>
          <w:szCs w:val="22"/>
          <w:lang w:eastAsia="en-US"/>
        </w:rPr>
        <w:t>důvěryhodnosti přístupu uživatelů. Přestože některá plánovaná automatizační opatření byla realizována pouze částečně, jejich cíle byly v mezidobí naplněny alternativními, organizačně efektivními nástroji (publikace termínů, metodická podpora).</w:t>
      </w:r>
    </w:p>
    <w:p w14:paraId="1893E83D" w14:textId="77777777" w:rsidR="00BB5EF6" w:rsidRDefault="00BB5EF6" w:rsidP="00E12009">
      <w:pPr>
        <w:spacing w:line="264" w:lineRule="auto"/>
        <w:jc w:val="both"/>
        <w:rPr>
          <w:rFonts w:ascii="Arial" w:eastAsiaTheme="minorHAnsi" w:hAnsi="Arial" w:cs="Arial"/>
          <w:sz w:val="22"/>
          <w:szCs w:val="22"/>
          <w:lang w:eastAsia="en-US"/>
        </w:rPr>
      </w:pPr>
    </w:p>
    <w:p w14:paraId="281E4CE2" w14:textId="76A22CD5" w:rsidR="00BB5EF6" w:rsidRDefault="00BB5EF6" w:rsidP="00157467">
      <w:pPr>
        <w:pBdr>
          <w:top w:val="single" w:sz="4" w:space="1" w:color="auto"/>
          <w:left w:val="single" w:sz="4" w:space="4" w:color="auto"/>
          <w:bottom w:val="single" w:sz="4" w:space="1" w:color="auto"/>
          <w:right w:val="single" w:sz="4" w:space="4" w:color="auto"/>
        </w:pBdr>
        <w:spacing w:line="264" w:lineRule="auto"/>
        <w:jc w:val="both"/>
        <w:rPr>
          <w:rFonts w:ascii="Arial" w:eastAsiaTheme="minorHAnsi" w:hAnsi="Arial" w:cs="Arial"/>
          <w:sz w:val="22"/>
          <w:szCs w:val="22"/>
          <w:lang w:eastAsia="en-US"/>
        </w:rPr>
      </w:pPr>
      <w:r w:rsidRPr="00BB5EF6">
        <w:rPr>
          <w:rFonts w:ascii="Arial" w:eastAsiaTheme="minorHAnsi" w:hAnsi="Arial" w:cs="Arial"/>
          <w:b/>
          <w:bCs/>
          <w:sz w:val="22"/>
          <w:szCs w:val="22"/>
          <w:lang w:eastAsia="en-US"/>
        </w:rPr>
        <w:t>Plnění</w:t>
      </w:r>
      <w:r w:rsidRPr="00BB5EF6">
        <w:rPr>
          <w:rFonts w:ascii="Arial" w:eastAsiaTheme="minorHAnsi" w:hAnsi="Arial" w:cs="Arial"/>
          <w:sz w:val="22"/>
          <w:szCs w:val="22"/>
          <w:lang w:eastAsia="en-US"/>
        </w:rPr>
        <w:t xml:space="preserve">: 8 indikátorů, z toho </w:t>
      </w:r>
      <w:r w:rsidRPr="00BB5EF6">
        <w:rPr>
          <w:rFonts w:ascii="Arial" w:eastAsiaTheme="minorHAnsi" w:hAnsi="Arial" w:cs="Arial"/>
          <w:b/>
          <w:bCs/>
          <w:sz w:val="22"/>
          <w:szCs w:val="22"/>
          <w:lang w:eastAsia="en-US"/>
        </w:rPr>
        <w:t>6 ANO (75,0 %)</w:t>
      </w:r>
      <w:r w:rsidRPr="00BB5EF6">
        <w:rPr>
          <w:rFonts w:ascii="Arial" w:eastAsiaTheme="minorHAnsi" w:hAnsi="Arial" w:cs="Arial"/>
          <w:sz w:val="22"/>
          <w:szCs w:val="22"/>
          <w:lang w:eastAsia="en-US"/>
        </w:rPr>
        <w:t xml:space="preserve">, </w:t>
      </w:r>
      <w:r w:rsidRPr="00BB5EF6">
        <w:rPr>
          <w:rFonts w:ascii="Arial" w:eastAsiaTheme="minorHAnsi" w:hAnsi="Arial" w:cs="Arial"/>
          <w:b/>
          <w:bCs/>
          <w:sz w:val="22"/>
          <w:szCs w:val="22"/>
          <w:lang w:eastAsia="en-US"/>
        </w:rPr>
        <w:t>2 ČÁSTEČNĚ (25,0 %)</w:t>
      </w:r>
      <w:r w:rsidRPr="00BB5EF6">
        <w:rPr>
          <w:rFonts w:ascii="Arial" w:eastAsiaTheme="minorHAnsi" w:hAnsi="Arial" w:cs="Arial"/>
          <w:sz w:val="22"/>
          <w:szCs w:val="22"/>
          <w:lang w:eastAsia="en-US"/>
        </w:rPr>
        <w:t xml:space="preserve">, </w:t>
      </w:r>
      <w:r w:rsidRPr="00BB5EF6">
        <w:rPr>
          <w:rFonts w:ascii="Arial" w:eastAsiaTheme="minorHAnsi" w:hAnsi="Arial" w:cs="Arial"/>
          <w:b/>
          <w:bCs/>
          <w:sz w:val="22"/>
          <w:szCs w:val="22"/>
          <w:lang w:eastAsia="en-US"/>
        </w:rPr>
        <w:t>0 NE (0 %)</w:t>
      </w:r>
      <w:r w:rsidRPr="00BB5EF6">
        <w:rPr>
          <w:rFonts w:ascii="Arial" w:eastAsiaTheme="minorHAnsi" w:hAnsi="Arial" w:cs="Arial"/>
          <w:sz w:val="22"/>
          <w:szCs w:val="22"/>
          <w:lang w:eastAsia="en-US"/>
        </w:rPr>
        <w:t xml:space="preserve">. Vážené plnění: </w:t>
      </w:r>
      <w:r w:rsidRPr="00600A3C">
        <w:rPr>
          <w:rFonts w:ascii="Arial" w:eastAsiaTheme="minorHAnsi" w:hAnsi="Arial" w:cs="Arial"/>
          <w:b/>
          <w:bCs/>
          <w:color w:val="76923C" w:themeColor="accent3" w:themeShade="BF"/>
          <w:sz w:val="22"/>
          <w:szCs w:val="22"/>
          <w:lang w:eastAsia="en-US"/>
        </w:rPr>
        <w:t>87,5 %</w:t>
      </w:r>
      <w:r w:rsidRPr="00BB5EF6">
        <w:rPr>
          <w:rFonts w:ascii="Arial" w:eastAsiaTheme="minorHAnsi" w:hAnsi="Arial" w:cs="Arial"/>
          <w:sz w:val="22"/>
          <w:szCs w:val="22"/>
          <w:lang w:eastAsia="en-US"/>
        </w:rPr>
        <w:t>.</w:t>
      </w:r>
    </w:p>
    <w:p w14:paraId="4A91F1E8" w14:textId="77777777" w:rsidR="00BB5EF6" w:rsidRDefault="00BB5EF6" w:rsidP="00E12009">
      <w:pPr>
        <w:spacing w:line="264" w:lineRule="auto"/>
        <w:jc w:val="both"/>
        <w:rPr>
          <w:rFonts w:ascii="Arial" w:eastAsiaTheme="minorHAnsi" w:hAnsi="Arial" w:cs="Arial"/>
          <w:sz w:val="22"/>
          <w:szCs w:val="22"/>
          <w:lang w:eastAsia="en-US"/>
        </w:rPr>
      </w:pPr>
    </w:p>
    <w:p w14:paraId="428B75C7" w14:textId="2E4D2154" w:rsidR="00E12009" w:rsidRPr="00E12009" w:rsidRDefault="00E12009" w:rsidP="00E12009">
      <w:pPr>
        <w:spacing w:line="264" w:lineRule="auto"/>
        <w:jc w:val="both"/>
        <w:rPr>
          <w:rFonts w:ascii="Arial" w:eastAsiaTheme="minorHAnsi" w:hAnsi="Arial" w:cs="Arial"/>
          <w:sz w:val="22"/>
          <w:szCs w:val="22"/>
          <w:lang w:eastAsia="en-US"/>
        </w:rPr>
      </w:pPr>
      <w:r w:rsidRPr="00E12009">
        <w:rPr>
          <w:rFonts w:ascii="Arial" w:eastAsiaTheme="minorHAnsi" w:hAnsi="Arial" w:cs="Arial"/>
          <w:sz w:val="22"/>
          <w:szCs w:val="22"/>
          <w:lang w:eastAsia="en-US"/>
        </w:rPr>
        <w:t>Oblast lze hodnotit jako splněnou, s jasně prokazatelným přínosem pro uživatele systému.</w:t>
      </w:r>
    </w:p>
    <w:p w14:paraId="16932A1A" w14:textId="77777777" w:rsidR="00E12009" w:rsidRDefault="00E12009" w:rsidP="00E12009">
      <w:pPr>
        <w:spacing w:line="264" w:lineRule="auto"/>
        <w:jc w:val="both"/>
        <w:rPr>
          <w:rFonts w:ascii="Arial" w:eastAsiaTheme="minorHAnsi" w:hAnsi="Arial" w:cs="Arial"/>
          <w:sz w:val="22"/>
          <w:szCs w:val="22"/>
          <w:lang w:eastAsia="en-US"/>
        </w:rPr>
      </w:pPr>
    </w:p>
    <w:p w14:paraId="4E95A78D" w14:textId="4CCAF935" w:rsidR="00E12009" w:rsidRPr="00E12009" w:rsidRDefault="00453DFB" w:rsidP="00E12009">
      <w:pPr>
        <w:spacing w:line="264" w:lineRule="auto"/>
        <w:jc w:val="both"/>
        <w:rPr>
          <w:rFonts w:ascii="Arial" w:eastAsiaTheme="minorHAnsi" w:hAnsi="Arial" w:cs="Arial"/>
          <w:b/>
          <w:bCs/>
          <w:color w:val="4F81BD" w:themeColor="accent1"/>
          <w:sz w:val="22"/>
          <w:szCs w:val="22"/>
          <w:lang w:eastAsia="en-US"/>
        </w:rPr>
      </w:pPr>
      <w:r>
        <w:rPr>
          <w:rFonts w:ascii="Arial" w:eastAsiaTheme="minorHAnsi" w:hAnsi="Arial" w:cs="Arial"/>
          <w:b/>
          <w:bCs/>
          <w:color w:val="4F81BD" w:themeColor="accent1"/>
          <w:sz w:val="22"/>
          <w:szCs w:val="22"/>
          <w:lang w:eastAsia="en-US"/>
        </w:rPr>
        <w:t>3</w:t>
      </w:r>
      <w:r w:rsidR="00E12009" w:rsidRPr="00E12009">
        <w:rPr>
          <w:rFonts w:ascii="Arial" w:eastAsiaTheme="minorHAnsi" w:hAnsi="Arial" w:cs="Arial"/>
          <w:b/>
          <w:bCs/>
          <w:color w:val="4F81BD" w:themeColor="accent1"/>
          <w:sz w:val="22"/>
          <w:szCs w:val="22"/>
          <w:lang w:eastAsia="en-US"/>
        </w:rPr>
        <w:t>.4 Důvěryhodnost a bezpečnost dat</w:t>
      </w:r>
    </w:p>
    <w:p w14:paraId="1DAE51E4" w14:textId="77777777" w:rsidR="00E12009" w:rsidRDefault="00E12009" w:rsidP="00E12009">
      <w:pPr>
        <w:spacing w:line="264" w:lineRule="auto"/>
        <w:jc w:val="both"/>
        <w:rPr>
          <w:rFonts w:ascii="Arial" w:eastAsiaTheme="minorHAnsi" w:hAnsi="Arial" w:cs="Arial"/>
          <w:sz w:val="22"/>
          <w:szCs w:val="22"/>
          <w:lang w:eastAsia="en-US"/>
        </w:rPr>
      </w:pPr>
    </w:p>
    <w:p w14:paraId="5E499C78" w14:textId="0FCB8AAC" w:rsidR="00E12009" w:rsidRDefault="00E12009" w:rsidP="00E12009">
      <w:pPr>
        <w:spacing w:line="264" w:lineRule="auto"/>
        <w:jc w:val="both"/>
        <w:rPr>
          <w:rFonts w:ascii="Arial" w:eastAsiaTheme="minorHAnsi" w:hAnsi="Arial" w:cs="Arial"/>
          <w:sz w:val="22"/>
          <w:szCs w:val="22"/>
          <w:lang w:eastAsia="en-US"/>
        </w:rPr>
      </w:pPr>
      <w:r w:rsidRPr="00E12009">
        <w:rPr>
          <w:rFonts w:ascii="Arial" w:eastAsiaTheme="minorHAnsi" w:hAnsi="Arial" w:cs="Arial"/>
          <w:sz w:val="22"/>
          <w:szCs w:val="22"/>
          <w:lang w:eastAsia="en-US"/>
        </w:rPr>
        <w:t>Bezpečnost představovala jednu z nejlépe plněných oblastí Koncepce</w:t>
      </w:r>
      <w:r w:rsidR="001616E0">
        <w:rPr>
          <w:rFonts w:ascii="Arial" w:eastAsiaTheme="minorHAnsi" w:hAnsi="Arial" w:cs="Arial"/>
          <w:sz w:val="22"/>
          <w:szCs w:val="22"/>
          <w:lang w:eastAsia="en-US"/>
        </w:rPr>
        <w:t xml:space="preserve"> IS VaVaI 2021-2025</w:t>
      </w:r>
      <w:r w:rsidRPr="00E12009">
        <w:rPr>
          <w:rFonts w:ascii="Arial" w:eastAsiaTheme="minorHAnsi" w:hAnsi="Arial" w:cs="Arial"/>
          <w:sz w:val="22"/>
          <w:szCs w:val="22"/>
          <w:lang w:eastAsia="en-US"/>
        </w:rPr>
        <w:t>. IS VaVaI po celé období splňoval požadavky zákona o kybernetické bezpečnosti a normy ISO/IEC 27001, což</w:t>
      </w:r>
      <w:r w:rsidR="002C16D9">
        <w:rPr>
          <w:rFonts w:ascii="Arial" w:eastAsiaTheme="minorHAnsi" w:hAnsi="Arial" w:cs="Arial"/>
          <w:sz w:val="22"/>
          <w:szCs w:val="22"/>
          <w:lang w:eastAsia="en-US"/>
        </w:rPr>
        <w:t> </w:t>
      </w:r>
      <w:r w:rsidRPr="00E12009">
        <w:rPr>
          <w:rFonts w:ascii="Arial" w:eastAsiaTheme="minorHAnsi" w:hAnsi="Arial" w:cs="Arial"/>
          <w:sz w:val="22"/>
          <w:szCs w:val="22"/>
          <w:lang w:eastAsia="en-US"/>
        </w:rPr>
        <w:t>bylo opakovaně potvrzeno úspěšnými audity.</w:t>
      </w:r>
    </w:p>
    <w:p w14:paraId="5F4D7A8A" w14:textId="77777777" w:rsidR="00E12009" w:rsidRPr="00E12009" w:rsidRDefault="00E12009" w:rsidP="00E12009">
      <w:pPr>
        <w:spacing w:line="264" w:lineRule="auto"/>
        <w:jc w:val="both"/>
        <w:rPr>
          <w:rFonts w:ascii="Arial" w:eastAsiaTheme="minorHAnsi" w:hAnsi="Arial" w:cs="Arial"/>
          <w:sz w:val="22"/>
          <w:szCs w:val="22"/>
          <w:lang w:eastAsia="en-US"/>
        </w:rPr>
      </w:pPr>
    </w:p>
    <w:p w14:paraId="53F67279" w14:textId="77777777" w:rsidR="00A340CF" w:rsidRDefault="00A340CF" w:rsidP="00E12009">
      <w:pPr>
        <w:spacing w:line="264" w:lineRule="auto"/>
        <w:jc w:val="both"/>
        <w:rPr>
          <w:rFonts w:ascii="Arial" w:eastAsiaTheme="minorHAnsi" w:hAnsi="Arial" w:cs="Arial"/>
          <w:sz w:val="22"/>
          <w:szCs w:val="22"/>
          <w:lang w:eastAsia="en-US"/>
        </w:rPr>
      </w:pPr>
    </w:p>
    <w:p w14:paraId="4904960A" w14:textId="2648DA96" w:rsidR="00E12009" w:rsidRDefault="00E12009" w:rsidP="00E12009">
      <w:pPr>
        <w:spacing w:line="264" w:lineRule="auto"/>
        <w:jc w:val="both"/>
        <w:rPr>
          <w:rFonts w:ascii="Arial" w:eastAsiaTheme="minorHAnsi" w:hAnsi="Arial" w:cs="Arial"/>
          <w:sz w:val="22"/>
          <w:szCs w:val="22"/>
          <w:lang w:eastAsia="en-US"/>
        </w:rPr>
      </w:pPr>
      <w:r w:rsidRPr="00E12009">
        <w:rPr>
          <w:rFonts w:ascii="Arial" w:eastAsiaTheme="minorHAnsi" w:hAnsi="Arial" w:cs="Arial"/>
          <w:sz w:val="22"/>
          <w:szCs w:val="22"/>
          <w:lang w:eastAsia="en-US"/>
        </w:rPr>
        <w:lastRenderedPageBreak/>
        <w:t>Realizovaná opatření zahrnovala:</w:t>
      </w:r>
    </w:p>
    <w:p w14:paraId="00DD4E44" w14:textId="77777777" w:rsidR="00E12009" w:rsidRPr="00E12009" w:rsidRDefault="00E12009" w:rsidP="00E12009">
      <w:pPr>
        <w:spacing w:line="264" w:lineRule="auto"/>
        <w:jc w:val="both"/>
        <w:rPr>
          <w:rFonts w:ascii="Arial" w:eastAsiaTheme="minorHAnsi" w:hAnsi="Arial" w:cs="Arial"/>
          <w:sz w:val="22"/>
          <w:szCs w:val="22"/>
          <w:lang w:eastAsia="en-US"/>
        </w:rPr>
      </w:pPr>
    </w:p>
    <w:p w14:paraId="43415931" w14:textId="7813135E" w:rsidR="00445EF4" w:rsidRPr="004A03DC" w:rsidRDefault="00E12009" w:rsidP="003B3110">
      <w:pPr>
        <w:pStyle w:val="Odstavecseseznamem"/>
        <w:numPr>
          <w:ilvl w:val="0"/>
          <w:numId w:val="4"/>
        </w:numPr>
        <w:spacing w:line="264" w:lineRule="auto"/>
        <w:jc w:val="both"/>
        <w:rPr>
          <w:rFonts w:ascii="Arial" w:eastAsiaTheme="minorHAnsi" w:hAnsi="Arial" w:cs="Arial"/>
          <w:sz w:val="22"/>
          <w:szCs w:val="22"/>
          <w:lang w:eastAsia="en-US"/>
        </w:rPr>
      </w:pPr>
      <w:r w:rsidRPr="004A03DC">
        <w:rPr>
          <w:rFonts w:ascii="Arial" w:eastAsiaTheme="minorHAnsi" w:hAnsi="Arial" w:cs="Arial"/>
          <w:sz w:val="22"/>
          <w:szCs w:val="22"/>
          <w:lang w:eastAsia="en-US"/>
        </w:rPr>
        <w:t>systematické řízení bezpečnostních rizik</w:t>
      </w:r>
      <w:r w:rsidR="00445EF4" w:rsidRPr="004A03DC">
        <w:rPr>
          <w:rFonts w:ascii="Arial" w:eastAsiaTheme="minorHAnsi" w:hAnsi="Arial" w:cs="Arial"/>
          <w:sz w:val="22"/>
          <w:szCs w:val="22"/>
          <w:lang w:eastAsia="en-US"/>
        </w:rPr>
        <w:t xml:space="preserve"> (úspěšné recertifikační a dozorové audity </w:t>
      </w:r>
    </w:p>
    <w:p w14:paraId="4FFCCD6E" w14:textId="451EA233" w:rsidR="00E12009" w:rsidRPr="004A03DC" w:rsidRDefault="00445EF4" w:rsidP="00CB4648">
      <w:pPr>
        <w:pStyle w:val="Odstavecseseznamem"/>
        <w:spacing w:line="264" w:lineRule="auto"/>
        <w:jc w:val="both"/>
        <w:rPr>
          <w:rFonts w:ascii="Arial" w:eastAsiaTheme="minorHAnsi" w:hAnsi="Arial" w:cs="Arial"/>
          <w:sz w:val="22"/>
          <w:szCs w:val="22"/>
          <w:lang w:eastAsia="en-US"/>
        </w:rPr>
      </w:pPr>
      <w:r w:rsidRPr="004A03DC">
        <w:rPr>
          <w:rFonts w:ascii="Arial" w:eastAsiaTheme="minorHAnsi" w:hAnsi="Arial" w:cs="Arial"/>
          <w:sz w:val="22"/>
          <w:szCs w:val="22"/>
          <w:lang w:eastAsia="en-US"/>
        </w:rPr>
        <w:t>dle ISO/IEC 27001)</w:t>
      </w:r>
      <w:r w:rsidR="00E12009" w:rsidRPr="004A03DC">
        <w:rPr>
          <w:rFonts w:ascii="Arial" w:eastAsiaTheme="minorHAnsi" w:hAnsi="Arial" w:cs="Arial"/>
          <w:sz w:val="22"/>
          <w:szCs w:val="22"/>
          <w:lang w:eastAsia="en-US"/>
        </w:rPr>
        <w:t>,</w:t>
      </w:r>
    </w:p>
    <w:p w14:paraId="02CD07AA" w14:textId="2A63C2A7" w:rsidR="004A03DC" w:rsidRPr="004A03DC" w:rsidRDefault="00E12009" w:rsidP="003B3110">
      <w:pPr>
        <w:pStyle w:val="Odstavecseseznamem"/>
        <w:numPr>
          <w:ilvl w:val="0"/>
          <w:numId w:val="4"/>
        </w:numPr>
        <w:spacing w:line="264" w:lineRule="auto"/>
        <w:jc w:val="both"/>
        <w:rPr>
          <w:rFonts w:ascii="Arial" w:eastAsiaTheme="minorHAnsi" w:hAnsi="Arial" w:cs="Arial"/>
          <w:sz w:val="22"/>
          <w:szCs w:val="22"/>
          <w:lang w:eastAsia="en-US"/>
        </w:rPr>
      </w:pPr>
      <w:r w:rsidRPr="004A03DC">
        <w:rPr>
          <w:rFonts w:ascii="Arial" w:eastAsiaTheme="minorHAnsi" w:hAnsi="Arial" w:cs="Arial"/>
          <w:sz w:val="22"/>
          <w:szCs w:val="22"/>
          <w:lang w:eastAsia="en-US"/>
        </w:rPr>
        <w:t>technická i organizační bezpečnostní opatření</w:t>
      </w:r>
      <w:r w:rsidR="004A03DC" w:rsidRPr="004A03DC">
        <w:rPr>
          <w:rFonts w:ascii="Arial" w:eastAsiaTheme="minorHAnsi" w:hAnsi="Arial" w:cs="Arial"/>
          <w:sz w:val="22"/>
          <w:szCs w:val="22"/>
          <w:lang w:eastAsia="en-US"/>
        </w:rPr>
        <w:t xml:space="preserve"> (2FA, </w:t>
      </w:r>
      <w:proofErr w:type="spellStart"/>
      <w:r w:rsidR="004A03DC" w:rsidRPr="004A03DC">
        <w:rPr>
          <w:rFonts w:ascii="Arial" w:eastAsiaTheme="minorHAnsi" w:hAnsi="Arial" w:cs="Arial"/>
          <w:sz w:val="22"/>
          <w:szCs w:val="22"/>
          <w:lang w:eastAsia="en-US"/>
        </w:rPr>
        <w:t>reCaptcha</w:t>
      </w:r>
      <w:proofErr w:type="spellEnd"/>
      <w:r w:rsidR="004A03DC" w:rsidRPr="004A03DC">
        <w:rPr>
          <w:rFonts w:ascii="Arial" w:eastAsiaTheme="minorHAnsi" w:hAnsi="Arial" w:cs="Arial"/>
          <w:sz w:val="22"/>
          <w:szCs w:val="22"/>
          <w:lang w:eastAsia="en-US"/>
        </w:rPr>
        <w:t>, logování, DRP modul)</w:t>
      </w:r>
    </w:p>
    <w:p w14:paraId="35D9A288" w14:textId="60F4358B" w:rsidR="00E12009" w:rsidRPr="004A03DC" w:rsidRDefault="00E12009" w:rsidP="003B3110">
      <w:pPr>
        <w:pStyle w:val="Odstavecseseznamem"/>
        <w:numPr>
          <w:ilvl w:val="0"/>
          <w:numId w:val="4"/>
        </w:numPr>
        <w:spacing w:line="264" w:lineRule="auto"/>
        <w:jc w:val="both"/>
        <w:rPr>
          <w:rFonts w:ascii="Arial" w:eastAsiaTheme="minorHAnsi" w:hAnsi="Arial" w:cs="Arial"/>
          <w:sz w:val="22"/>
          <w:szCs w:val="22"/>
          <w:lang w:eastAsia="en-US"/>
        </w:rPr>
      </w:pPr>
      <w:r w:rsidRPr="004A03DC">
        <w:rPr>
          <w:rFonts w:ascii="Arial" w:eastAsiaTheme="minorHAnsi" w:hAnsi="Arial" w:cs="Arial"/>
          <w:sz w:val="22"/>
          <w:szCs w:val="22"/>
          <w:lang w:eastAsia="en-US"/>
        </w:rPr>
        <w:t>posílení autentizačních mechanismů.</w:t>
      </w:r>
    </w:p>
    <w:p w14:paraId="1AD4058B" w14:textId="77777777" w:rsidR="00E12009" w:rsidRDefault="00E12009" w:rsidP="00E12009">
      <w:pPr>
        <w:spacing w:line="264" w:lineRule="auto"/>
        <w:jc w:val="both"/>
        <w:rPr>
          <w:rFonts w:ascii="Arial" w:eastAsiaTheme="minorHAnsi" w:hAnsi="Arial" w:cs="Arial"/>
          <w:sz w:val="22"/>
          <w:szCs w:val="22"/>
          <w:lang w:eastAsia="en-US"/>
        </w:rPr>
      </w:pPr>
    </w:p>
    <w:p w14:paraId="770E3278" w14:textId="77777777" w:rsidR="00046096" w:rsidRPr="00046096" w:rsidRDefault="00046096" w:rsidP="00046096">
      <w:pPr>
        <w:pBdr>
          <w:top w:val="single" w:sz="4" w:space="1" w:color="auto"/>
          <w:left w:val="single" w:sz="4" w:space="4" w:color="auto"/>
          <w:bottom w:val="single" w:sz="4" w:space="1" w:color="auto"/>
          <w:right w:val="single" w:sz="4" w:space="4" w:color="auto"/>
        </w:pBdr>
        <w:spacing w:line="264" w:lineRule="auto"/>
        <w:jc w:val="both"/>
        <w:rPr>
          <w:rFonts w:ascii="Arial" w:eastAsiaTheme="minorHAnsi" w:hAnsi="Arial" w:cs="Arial"/>
          <w:sz w:val="22"/>
          <w:szCs w:val="22"/>
          <w:lang w:eastAsia="en-US"/>
        </w:rPr>
      </w:pPr>
      <w:r w:rsidRPr="00046096">
        <w:rPr>
          <w:rFonts w:ascii="Arial" w:eastAsiaTheme="minorHAnsi" w:hAnsi="Arial" w:cs="Arial"/>
          <w:b/>
          <w:bCs/>
          <w:sz w:val="22"/>
          <w:szCs w:val="22"/>
          <w:lang w:eastAsia="en-US"/>
        </w:rPr>
        <w:t>Plnění:</w:t>
      </w:r>
      <w:r w:rsidRPr="00046096">
        <w:rPr>
          <w:rFonts w:ascii="Arial" w:eastAsiaTheme="minorHAnsi" w:hAnsi="Arial" w:cs="Arial"/>
          <w:sz w:val="22"/>
          <w:szCs w:val="22"/>
          <w:lang w:eastAsia="en-US"/>
        </w:rPr>
        <w:t xml:space="preserve"> 2 indikátory, z toho </w:t>
      </w:r>
      <w:r w:rsidRPr="00046096">
        <w:rPr>
          <w:rFonts w:ascii="Arial" w:eastAsiaTheme="minorHAnsi" w:hAnsi="Arial" w:cs="Arial"/>
          <w:b/>
          <w:bCs/>
          <w:sz w:val="22"/>
          <w:szCs w:val="22"/>
          <w:lang w:eastAsia="en-US"/>
        </w:rPr>
        <w:t>2 ANO (100 %)</w:t>
      </w:r>
      <w:r w:rsidRPr="00046096">
        <w:rPr>
          <w:rFonts w:ascii="Arial" w:eastAsiaTheme="minorHAnsi" w:hAnsi="Arial" w:cs="Arial"/>
          <w:sz w:val="22"/>
          <w:szCs w:val="22"/>
          <w:lang w:eastAsia="en-US"/>
        </w:rPr>
        <w:t xml:space="preserve">, </w:t>
      </w:r>
      <w:r w:rsidRPr="00046096">
        <w:rPr>
          <w:rFonts w:ascii="Arial" w:eastAsiaTheme="minorHAnsi" w:hAnsi="Arial" w:cs="Arial"/>
          <w:b/>
          <w:bCs/>
          <w:sz w:val="22"/>
          <w:szCs w:val="22"/>
          <w:lang w:eastAsia="en-US"/>
        </w:rPr>
        <w:t>0 ČÁSTEČNĚ</w:t>
      </w:r>
      <w:r w:rsidRPr="00046096">
        <w:rPr>
          <w:rFonts w:ascii="Arial" w:eastAsiaTheme="minorHAnsi" w:hAnsi="Arial" w:cs="Arial"/>
          <w:sz w:val="22"/>
          <w:szCs w:val="22"/>
          <w:lang w:eastAsia="en-US"/>
        </w:rPr>
        <w:t xml:space="preserve">, </w:t>
      </w:r>
      <w:r w:rsidRPr="00046096">
        <w:rPr>
          <w:rFonts w:ascii="Arial" w:eastAsiaTheme="minorHAnsi" w:hAnsi="Arial" w:cs="Arial"/>
          <w:b/>
          <w:bCs/>
          <w:sz w:val="22"/>
          <w:szCs w:val="22"/>
          <w:lang w:eastAsia="en-US"/>
        </w:rPr>
        <w:t>0 NE</w:t>
      </w:r>
      <w:r w:rsidRPr="00046096">
        <w:rPr>
          <w:rFonts w:ascii="Arial" w:eastAsiaTheme="minorHAnsi" w:hAnsi="Arial" w:cs="Arial"/>
          <w:sz w:val="22"/>
          <w:szCs w:val="22"/>
          <w:lang w:eastAsia="en-US"/>
        </w:rPr>
        <w:t xml:space="preserve">. Vážené plnění: </w:t>
      </w:r>
      <w:r w:rsidRPr="00046096">
        <w:rPr>
          <w:rFonts w:ascii="Arial" w:eastAsiaTheme="minorHAnsi" w:hAnsi="Arial" w:cs="Arial"/>
          <w:b/>
          <w:bCs/>
          <w:color w:val="76923C" w:themeColor="accent3" w:themeShade="BF"/>
          <w:sz w:val="22"/>
          <w:szCs w:val="22"/>
          <w:lang w:eastAsia="en-US"/>
        </w:rPr>
        <w:t>100 %</w:t>
      </w:r>
      <w:r w:rsidRPr="00046096">
        <w:rPr>
          <w:rFonts w:ascii="Arial" w:eastAsiaTheme="minorHAnsi" w:hAnsi="Arial" w:cs="Arial"/>
          <w:sz w:val="22"/>
          <w:szCs w:val="22"/>
          <w:lang w:eastAsia="en-US"/>
        </w:rPr>
        <w:t>.</w:t>
      </w:r>
    </w:p>
    <w:p w14:paraId="1EF904DE" w14:textId="77777777" w:rsidR="00046096" w:rsidRDefault="00046096" w:rsidP="00E12009">
      <w:pPr>
        <w:spacing w:line="264" w:lineRule="auto"/>
        <w:jc w:val="both"/>
        <w:rPr>
          <w:rFonts w:ascii="Arial" w:eastAsiaTheme="minorHAnsi" w:hAnsi="Arial" w:cs="Arial"/>
          <w:sz w:val="22"/>
          <w:szCs w:val="22"/>
          <w:lang w:eastAsia="en-US"/>
        </w:rPr>
      </w:pPr>
    </w:p>
    <w:p w14:paraId="793CFDCA" w14:textId="03CEB2FD" w:rsidR="00E12009" w:rsidRPr="00E12009" w:rsidRDefault="00E12009" w:rsidP="00E12009">
      <w:pPr>
        <w:spacing w:line="264" w:lineRule="auto"/>
        <w:jc w:val="both"/>
        <w:rPr>
          <w:rFonts w:ascii="Arial" w:eastAsiaTheme="minorHAnsi" w:hAnsi="Arial" w:cs="Arial"/>
          <w:sz w:val="22"/>
          <w:szCs w:val="22"/>
          <w:lang w:eastAsia="en-US"/>
        </w:rPr>
      </w:pPr>
      <w:r w:rsidRPr="00E12009">
        <w:rPr>
          <w:rFonts w:ascii="Arial" w:eastAsiaTheme="minorHAnsi" w:hAnsi="Arial" w:cs="Arial"/>
          <w:sz w:val="22"/>
          <w:szCs w:val="22"/>
          <w:lang w:eastAsia="en-US"/>
        </w:rPr>
        <w:t xml:space="preserve">Tato oblast byla plně splněna a výrazně přispěla k důvěryhodnosti IS VaVaI jako </w:t>
      </w:r>
      <w:r w:rsidR="00CB4648">
        <w:rPr>
          <w:rFonts w:ascii="Arial" w:eastAsiaTheme="minorHAnsi" w:hAnsi="Arial" w:cs="Arial"/>
          <w:sz w:val="22"/>
          <w:szCs w:val="22"/>
          <w:lang w:eastAsia="en-US"/>
        </w:rPr>
        <w:t>významného</w:t>
      </w:r>
      <w:r w:rsidRPr="00E12009">
        <w:rPr>
          <w:rFonts w:ascii="Arial" w:eastAsiaTheme="minorHAnsi" w:hAnsi="Arial" w:cs="Arial"/>
          <w:sz w:val="22"/>
          <w:szCs w:val="22"/>
          <w:lang w:eastAsia="en-US"/>
        </w:rPr>
        <w:t xml:space="preserve"> informačního systému veřejné správy.</w:t>
      </w:r>
    </w:p>
    <w:p w14:paraId="4322FF2C" w14:textId="77777777" w:rsidR="00E12009" w:rsidRDefault="00E12009" w:rsidP="00E12009">
      <w:pPr>
        <w:spacing w:line="264" w:lineRule="auto"/>
        <w:jc w:val="both"/>
        <w:rPr>
          <w:rFonts w:ascii="Arial" w:eastAsiaTheme="minorHAnsi" w:hAnsi="Arial" w:cs="Arial"/>
          <w:sz w:val="22"/>
          <w:szCs w:val="22"/>
          <w:lang w:eastAsia="en-US"/>
        </w:rPr>
      </w:pPr>
    </w:p>
    <w:p w14:paraId="606346A2" w14:textId="73EFCA84" w:rsidR="00E12009" w:rsidRPr="00E12009" w:rsidRDefault="00453DFB" w:rsidP="00E12009">
      <w:pPr>
        <w:spacing w:line="264" w:lineRule="auto"/>
        <w:jc w:val="both"/>
        <w:rPr>
          <w:rFonts w:ascii="Arial" w:eastAsiaTheme="minorHAnsi" w:hAnsi="Arial" w:cs="Arial"/>
          <w:b/>
          <w:bCs/>
          <w:color w:val="4F81BD" w:themeColor="accent1"/>
          <w:sz w:val="22"/>
          <w:szCs w:val="22"/>
          <w:lang w:eastAsia="en-US"/>
        </w:rPr>
      </w:pPr>
      <w:r>
        <w:rPr>
          <w:rFonts w:ascii="Arial" w:eastAsiaTheme="minorHAnsi" w:hAnsi="Arial" w:cs="Arial"/>
          <w:b/>
          <w:bCs/>
          <w:color w:val="4F81BD" w:themeColor="accent1"/>
          <w:sz w:val="22"/>
          <w:szCs w:val="22"/>
          <w:lang w:eastAsia="en-US"/>
        </w:rPr>
        <w:t>3</w:t>
      </w:r>
      <w:r w:rsidR="00E12009" w:rsidRPr="00E12009">
        <w:rPr>
          <w:rFonts w:ascii="Arial" w:eastAsiaTheme="minorHAnsi" w:hAnsi="Arial" w:cs="Arial"/>
          <w:b/>
          <w:bCs/>
          <w:color w:val="4F81BD" w:themeColor="accent1"/>
          <w:sz w:val="22"/>
          <w:szCs w:val="22"/>
          <w:lang w:eastAsia="en-US"/>
        </w:rPr>
        <w:t>.5 Vývoj, údržba a provoz IS VaVaI</w:t>
      </w:r>
    </w:p>
    <w:p w14:paraId="22C5488F" w14:textId="77777777" w:rsidR="00E12009" w:rsidRDefault="00E12009" w:rsidP="00E12009">
      <w:pPr>
        <w:spacing w:line="264" w:lineRule="auto"/>
        <w:jc w:val="both"/>
        <w:rPr>
          <w:rFonts w:ascii="Arial" w:eastAsiaTheme="minorHAnsi" w:hAnsi="Arial" w:cs="Arial"/>
          <w:sz w:val="22"/>
          <w:szCs w:val="22"/>
          <w:lang w:eastAsia="en-US"/>
        </w:rPr>
      </w:pPr>
    </w:p>
    <w:p w14:paraId="5B99AE3C" w14:textId="2A5C896A" w:rsidR="00E12009" w:rsidRDefault="00E12009" w:rsidP="00E12009">
      <w:pPr>
        <w:spacing w:line="264" w:lineRule="auto"/>
        <w:jc w:val="both"/>
        <w:rPr>
          <w:rFonts w:ascii="Arial" w:eastAsiaTheme="minorHAnsi" w:hAnsi="Arial" w:cs="Arial"/>
          <w:sz w:val="22"/>
          <w:szCs w:val="22"/>
          <w:lang w:eastAsia="en-US"/>
        </w:rPr>
      </w:pPr>
      <w:r w:rsidRPr="00E12009">
        <w:rPr>
          <w:rFonts w:ascii="Arial" w:eastAsiaTheme="minorHAnsi" w:hAnsi="Arial" w:cs="Arial"/>
          <w:sz w:val="22"/>
          <w:szCs w:val="22"/>
          <w:lang w:eastAsia="en-US"/>
        </w:rPr>
        <w:t>V oblasti vývoje, údržby a provozu byly zajištěny nezbytné technické i finanční zdroje pro</w:t>
      </w:r>
      <w:r w:rsidR="00CB4648">
        <w:rPr>
          <w:rFonts w:ascii="Arial" w:eastAsiaTheme="minorHAnsi" w:hAnsi="Arial" w:cs="Arial"/>
          <w:sz w:val="22"/>
          <w:szCs w:val="22"/>
          <w:lang w:eastAsia="en-US"/>
        </w:rPr>
        <w:t> </w:t>
      </w:r>
      <w:r w:rsidRPr="00E12009">
        <w:rPr>
          <w:rFonts w:ascii="Arial" w:eastAsiaTheme="minorHAnsi" w:hAnsi="Arial" w:cs="Arial"/>
          <w:sz w:val="22"/>
          <w:szCs w:val="22"/>
          <w:lang w:eastAsia="en-US"/>
        </w:rPr>
        <w:t>stabilní chod systému. Průběžná modernizace infrastruktury, obnova licencí a</w:t>
      </w:r>
      <w:r w:rsidR="00B34A3E">
        <w:rPr>
          <w:rFonts w:ascii="Arial" w:eastAsiaTheme="minorHAnsi" w:hAnsi="Arial" w:cs="Arial"/>
          <w:sz w:val="22"/>
          <w:szCs w:val="22"/>
          <w:lang w:eastAsia="en-US"/>
        </w:rPr>
        <w:t> </w:t>
      </w:r>
      <w:r w:rsidRPr="00E12009">
        <w:rPr>
          <w:rFonts w:ascii="Arial" w:eastAsiaTheme="minorHAnsi" w:hAnsi="Arial" w:cs="Arial"/>
          <w:sz w:val="22"/>
          <w:szCs w:val="22"/>
          <w:lang w:eastAsia="en-US"/>
        </w:rPr>
        <w:t>rozvoj analytických nástrojů umožnily nejen zachování provozní stability, ale i další kvalitativní rozvoj systému.</w:t>
      </w:r>
      <w:r w:rsidR="001B129C">
        <w:rPr>
          <w:rFonts w:ascii="Arial" w:eastAsiaTheme="minorHAnsi" w:hAnsi="Arial" w:cs="Arial"/>
          <w:sz w:val="22"/>
          <w:szCs w:val="22"/>
          <w:lang w:eastAsia="en-US"/>
        </w:rPr>
        <w:t xml:space="preserve"> Realizovaná opatření:</w:t>
      </w:r>
    </w:p>
    <w:p w14:paraId="5EB3738A" w14:textId="77777777" w:rsidR="001B129C" w:rsidRDefault="001B129C" w:rsidP="00E12009">
      <w:pPr>
        <w:spacing w:line="264" w:lineRule="auto"/>
        <w:jc w:val="both"/>
        <w:rPr>
          <w:rFonts w:ascii="Arial" w:eastAsiaTheme="minorHAnsi" w:hAnsi="Arial" w:cs="Arial"/>
          <w:sz w:val="22"/>
          <w:szCs w:val="22"/>
          <w:lang w:eastAsia="en-US"/>
        </w:rPr>
      </w:pPr>
    </w:p>
    <w:p w14:paraId="28A19A39" w14:textId="30347B8C" w:rsidR="001B129C" w:rsidRPr="001B129C" w:rsidRDefault="001B129C" w:rsidP="003B3110">
      <w:pPr>
        <w:pStyle w:val="Odstavecseseznamem"/>
        <w:numPr>
          <w:ilvl w:val="0"/>
          <w:numId w:val="5"/>
        </w:numPr>
        <w:spacing w:line="264" w:lineRule="auto"/>
        <w:jc w:val="both"/>
        <w:rPr>
          <w:rFonts w:ascii="Arial" w:eastAsiaTheme="minorHAnsi" w:hAnsi="Arial" w:cs="Arial"/>
          <w:sz w:val="22"/>
          <w:szCs w:val="22"/>
          <w:lang w:eastAsia="en-US"/>
        </w:rPr>
      </w:pPr>
      <w:r>
        <w:rPr>
          <w:rFonts w:ascii="Arial" w:eastAsiaTheme="minorHAnsi" w:hAnsi="Arial" w:cs="Arial"/>
          <w:sz w:val="22"/>
          <w:szCs w:val="22"/>
          <w:lang w:eastAsia="en-US"/>
        </w:rPr>
        <w:t>m</w:t>
      </w:r>
      <w:r w:rsidRPr="001B129C">
        <w:rPr>
          <w:rFonts w:ascii="Arial" w:eastAsiaTheme="minorHAnsi" w:hAnsi="Arial" w:cs="Arial"/>
          <w:sz w:val="22"/>
          <w:szCs w:val="22"/>
          <w:lang w:eastAsia="en-US"/>
        </w:rPr>
        <w:t>odernizace infrastruktury (</w:t>
      </w:r>
      <w:proofErr w:type="spellStart"/>
      <w:r w:rsidRPr="001B129C">
        <w:rPr>
          <w:rFonts w:ascii="Arial" w:eastAsiaTheme="minorHAnsi" w:hAnsi="Arial" w:cs="Arial"/>
          <w:sz w:val="22"/>
          <w:szCs w:val="22"/>
          <w:lang w:eastAsia="en-US"/>
        </w:rPr>
        <w:t>blade</w:t>
      </w:r>
      <w:proofErr w:type="spellEnd"/>
      <w:r w:rsidRPr="001B129C">
        <w:rPr>
          <w:rFonts w:ascii="Arial" w:eastAsiaTheme="minorHAnsi" w:hAnsi="Arial" w:cs="Arial"/>
          <w:sz w:val="22"/>
          <w:szCs w:val="22"/>
          <w:lang w:eastAsia="en-US"/>
        </w:rPr>
        <w:t xml:space="preserve"> servery, </w:t>
      </w:r>
      <w:proofErr w:type="spellStart"/>
      <w:r w:rsidRPr="001B129C">
        <w:rPr>
          <w:rFonts w:ascii="Arial" w:eastAsiaTheme="minorHAnsi" w:hAnsi="Arial" w:cs="Arial"/>
          <w:sz w:val="22"/>
          <w:szCs w:val="22"/>
          <w:lang w:eastAsia="en-US"/>
        </w:rPr>
        <w:t>VMware</w:t>
      </w:r>
      <w:proofErr w:type="spellEnd"/>
      <w:r w:rsidRPr="001B129C">
        <w:rPr>
          <w:rFonts w:ascii="Arial" w:eastAsiaTheme="minorHAnsi" w:hAnsi="Arial" w:cs="Arial"/>
          <w:sz w:val="22"/>
          <w:szCs w:val="22"/>
          <w:lang w:eastAsia="en-US"/>
        </w:rPr>
        <w:t xml:space="preserve">, </w:t>
      </w:r>
      <w:proofErr w:type="spellStart"/>
      <w:r w:rsidRPr="001B129C">
        <w:rPr>
          <w:rFonts w:ascii="Arial" w:eastAsiaTheme="minorHAnsi" w:hAnsi="Arial" w:cs="Arial"/>
          <w:sz w:val="22"/>
          <w:szCs w:val="22"/>
          <w:lang w:eastAsia="en-US"/>
        </w:rPr>
        <w:t>PowerBI</w:t>
      </w:r>
      <w:proofErr w:type="spellEnd"/>
      <w:r w:rsidRPr="001B129C">
        <w:rPr>
          <w:rFonts w:ascii="Arial" w:eastAsiaTheme="minorHAnsi" w:hAnsi="Arial" w:cs="Arial"/>
          <w:sz w:val="22"/>
          <w:szCs w:val="22"/>
          <w:lang w:eastAsia="en-US"/>
        </w:rPr>
        <w:t xml:space="preserve"> licence)</w:t>
      </w:r>
      <w:r>
        <w:rPr>
          <w:rFonts w:ascii="Arial" w:eastAsiaTheme="minorHAnsi" w:hAnsi="Arial" w:cs="Arial"/>
          <w:sz w:val="22"/>
          <w:szCs w:val="22"/>
          <w:lang w:eastAsia="en-US"/>
        </w:rPr>
        <w:t>,</w:t>
      </w:r>
    </w:p>
    <w:p w14:paraId="1558CB12" w14:textId="02828DC0" w:rsidR="001B129C" w:rsidRPr="001B129C" w:rsidRDefault="001B129C" w:rsidP="003B3110">
      <w:pPr>
        <w:pStyle w:val="Odstavecseseznamem"/>
        <w:numPr>
          <w:ilvl w:val="0"/>
          <w:numId w:val="5"/>
        </w:numPr>
        <w:spacing w:line="264" w:lineRule="auto"/>
        <w:jc w:val="both"/>
        <w:rPr>
          <w:rFonts w:ascii="Arial" w:eastAsiaTheme="minorHAnsi" w:hAnsi="Arial" w:cs="Arial"/>
          <w:sz w:val="22"/>
          <w:szCs w:val="22"/>
          <w:lang w:eastAsia="en-US"/>
        </w:rPr>
      </w:pPr>
      <w:r>
        <w:rPr>
          <w:rFonts w:ascii="Arial" w:eastAsiaTheme="minorHAnsi" w:hAnsi="Arial" w:cs="Arial"/>
          <w:sz w:val="22"/>
          <w:szCs w:val="22"/>
          <w:lang w:eastAsia="en-US"/>
        </w:rPr>
        <w:t>s</w:t>
      </w:r>
      <w:r w:rsidRPr="001B129C">
        <w:rPr>
          <w:rFonts w:ascii="Arial" w:eastAsiaTheme="minorHAnsi" w:hAnsi="Arial" w:cs="Arial"/>
          <w:sz w:val="22"/>
          <w:szCs w:val="22"/>
          <w:lang w:eastAsia="en-US"/>
        </w:rPr>
        <w:t>tabilní zajištění provozu a financování systému po celé období.</w:t>
      </w:r>
    </w:p>
    <w:p w14:paraId="33AFFE2D" w14:textId="77777777" w:rsidR="00E12009" w:rsidRDefault="00E12009" w:rsidP="00E12009">
      <w:pPr>
        <w:spacing w:line="264" w:lineRule="auto"/>
        <w:jc w:val="both"/>
        <w:rPr>
          <w:rFonts w:ascii="Arial" w:eastAsiaTheme="minorHAnsi" w:hAnsi="Arial" w:cs="Arial"/>
          <w:sz w:val="22"/>
          <w:szCs w:val="22"/>
          <w:lang w:eastAsia="en-US"/>
        </w:rPr>
      </w:pPr>
    </w:p>
    <w:p w14:paraId="3DDEA415" w14:textId="77777777" w:rsidR="00E57E19" w:rsidRPr="00E57E19" w:rsidRDefault="00E57E19" w:rsidP="00E57E19">
      <w:pPr>
        <w:pBdr>
          <w:top w:val="single" w:sz="4" w:space="1" w:color="auto"/>
          <w:left w:val="single" w:sz="4" w:space="4" w:color="auto"/>
          <w:bottom w:val="single" w:sz="4" w:space="1" w:color="auto"/>
          <w:right w:val="single" w:sz="4" w:space="4" w:color="auto"/>
        </w:pBdr>
        <w:spacing w:line="264" w:lineRule="auto"/>
        <w:jc w:val="both"/>
        <w:rPr>
          <w:rFonts w:ascii="Arial" w:eastAsiaTheme="minorHAnsi" w:hAnsi="Arial" w:cs="Arial"/>
          <w:sz w:val="22"/>
          <w:szCs w:val="22"/>
          <w:lang w:eastAsia="en-US"/>
        </w:rPr>
      </w:pPr>
      <w:r w:rsidRPr="00E57E19">
        <w:rPr>
          <w:rFonts w:ascii="Arial" w:eastAsiaTheme="minorHAnsi" w:hAnsi="Arial" w:cs="Arial"/>
          <w:b/>
          <w:bCs/>
          <w:sz w:val="22"/>
          <w:szCs w:val="22"/>
          <w:lang w:eastAsia="en-US"/>
        </w:rPr>
        <w:t>Plnění:</w:t>
      </w:r>
      <w:r w:rsidRPr="00E57E19">
        <w:rPr>
          <w:rFonts w:ascii="Arial" w:eastAsiaTheme="minorHAnsi" w:hAnsi="Arial" w:cs="Arial"/>
          <w:sz w:val="22"/>
          <w:szCs w:val="22"/>
          <w:lang w:eastAsia="en-US"/>
        </w:rPr>
        <w:t xml:space="preserve"> 2 indikátory, z toho </w:t>
      </w:r>
      <w:r w:rsidRPr="00E57E19">
        <w:rPr>
          <w:rFonts w:ascii="Arial" w:eastAsiaTheme="minorHAnsi" w:hAnsi="Arial" w:cs="Arial"/>
          <w:b/>
          <w:bCs/>
          <w:sz w:val="22"/>
          <w:szCs w:val="22"/>
          <w:lang w:eastAsia="en-US"/>
        </w:rPr>
        <w:t>2 ANO (100 %)</w:t>
      </w:r>
      <w:r w:rsidRPr="00E57E19">
        <w:rPr>
          <w:rFonts w:ascii="Arial" w:eastAsiaTheme="minorHAnsi" w:hAnsi="Arial" w:cs="Arial"/>
          <w:sz w:val="22"/>
          <w:szCs w:val="22"/>
          <w:lang w:eastAsia="en-US"/>
        </w:rPr>
        <w:t xml:space="preserve">, </w:t>
      </w:r>
      <w:r w:rsidRPr="00E57E19">
        <w:rPr>
          <w:rFonts w:ascii="Arial" w:eastAsiaTheme="minorHAnsi" w:hAnsi="Arial" w:cs="Arial"/>
          <w:b/>
          <w:bCs/>
          <w:sz w:val="22"/>
          <w:szCs w:val="22"/>
          <w:lang w:eastAsia="en-US"/>
        </w:rPr>
        <w:t>0 ČÁSTEČNĚ</w:t>
      </w:r>
      <w:r w:rsidRPr="00E57E19">
        <w:rPr>
          <w:rFonts w:ascii="Arial" w:eastAsiaTheme="minorHAnsi" w:hAnsi="Arial" w:cs="Arial"/>
          <w:sz w:val="22"/>
          <w:szCs w:val="22"/>
          <w:lang w:eastAsia="en-US"/>
        </w:rPr>
        <w:t xml:space="preserve">, </w:t>
      </w:r>
      <w:r w:rsidRPr="00E57E19">
        <w:rPr>
          <w:rFonts w:ascii="Arial" w:eastAsiaTheme="minorHAnsi" w:hAnsi="Arial" w:cs="Arial"/>
          <w:b/>
          <w:bCs/>
          <w:sz w:val="22"/>
          <w:szCs w:val="22"/>
          <w:lang w:eastAsia="en-US"/>
        </w:rPr>
        <w:t>0 NE</w:t>
      </w:r>
      <w:r w:rsidRPr="00E57E19">
        <w:rPr>
          <w:rFonts w:ascii="Arial" w:eastAsiaTheme="minorHAnsi" w:hAnsi="Arial" w:cs="Arial"/>
          <w:sz w:val="22"/>
          <w:szCs w:val="22"/>
          <w:lang w:eastAsia="en-US"/>
        </w:rPr>
        <w:t xml:space="preserve">. Vážené plnění: </w:t>
      </w:r>
      <w:r w:rsidRPr="00E57E19">
        <w:rPr>
          <w:rFonts w:ascii="Arial" w:eastAsiaTheme="minorHAnsi" w:hAnsi="Arial" w:cs="Arial"/>
          <w:b/>
          <w:bCs/>
          <w:color w:val="76923C" w:themeColor="accent3" w:themeShade="BF"/>
          <w:sz w:val="22"/>
          <w:szCs w:val="22"/>
          <w:lang w:eastAsia="en-US"/>
        </w:rPr>
        <w:t>100 %</w:t>
      </w:r>
      <w:r w:rsidRPr="00E57E19">
        <w:rPr>
          <w:rFonts w:ascii="Arial" w:eastAsiaTheme="minorHAnsi" w:hAnsi="Arial" w:cs="Arial"/>
          <w:sz w:val="22"/>
          <w:szCs w:val="22"/>
          <w:lang w:eastAsia="en-US"/>
        </w:rPr>
        <w:t>.</w:t>
      </w:r>
    </w:p>
    <w:p w14:paraId="239F791A" w14:textId="77777777" w:rsidR="00E57E19" w:rsidRDefault="00E57E19" w:rsidP="00E12009">
      <w:pPr>
        <w:spacing w:line="264" w:lineRule="auto"/>
        <w:jc w:val="both"/>
        <w:rPr>
          <w:rFonts w:ascii="Arial" w:eastAsiaTheme="minorHAnsi" w:hAnsi="Arial" w:cs="Arial"/>
          <w:sz w:val="22"/>
          <w:szCs w:val="22"/>
          <w:lang w:eastAsia="en-US"/>
        </w:rPr>
      </w:pPr>
    </w:p>
    <w:p w14:paraId="31BE1787" w14:textId="0BDFCBF0" w:rsidR="00E12009" w:rsidRDefault="00E12009" w:rsidP="00E12009">
      <w:pPr>
        <w:spacing w:line="264" w:lineRule="auto"/>
        <w:jc w:val="both"/>
        <w:rPr>
          <w:rFonts w:ascii="Arial" w:eastAsiaTheme="minorHAnsi" w:hAnsi="Arial" w:cs="Arial"/>
          <w:sz w:val="22"/>
          <w:szCs w:val="22"/>
          <w:lang w:eastAsia="en-US"/>
        </w:rPr>
      </w:pPr>
      <w:r w:rsidRPr="00E12009">
        <w:rPr>
          <w:rFonts w:ascii="Arial" w:eastAsiaTheme="minorHAnsi" w:hAnsi="Arial" w:cs="Arial"/>
          <w:sz w:val="22"/>
          <w:szCs w:val="22"/>
          <w:lang w:eastAsia="en-US"/>
        </w:rPr>
        <w:t>Opatření v této oblasti byla plněna kontinuálně, v souladu s prioritami koncepce a aktuálními potřebami státní správy.</w:t>
      </w:r>
    </w:p>
    <w:p w14:paraId="65A35280" w14:textId="77777777" w:rsidR="00D616A3" w:rsidRDefault="00D616A3" w:rsidP="00E12009">
      <w:pPr>
        <w:spacing w:line="264" w:lineRule="auto"/>
        <w:jc w:val="both"/>
        <w:rPr>
          <w:rFonts w:ascii="Arial" w:eastAsiaTheme="minorHAnsi" w:hAnsi="Arial" w:cs="Arial"/>
          <w:sz w:val="22"/>
          <w:szCs w:val="22"/>
          <w:lang w:eastAsia="en-US"/>
        </w:rPr>
      </w:pPr>
    </w:p>
    <w:p w14:paraId="1B30145D" w14:textId="199FEBDE" w:rsidR="00D616A3" w:rsidRPr="00D616A3" w:rsidRDefault="00453DFB" w:rsidP="00D616A3">
      <w:pPr>
        <w:spacing w:line="264" w:lineRule="auto"/>
        <w:jc w:val="both"/>
        <w:rPr>
          <w:rFonts w:ascii="Arial" w:eastAsiaTheme="minorHAnsi" w:hAnsi="Arial" w:cs="Arial"/>
          <w:b/>
          <w:bCs/>
          <w:color w:val="4F81BD" w:themeColor="accent1"/>
          <w:sz w:val="22"/>
          <w:szCs w:val="22"/>
          <w:lang w:eastAsia="en-US"/>
        </w:rPr>
      </w:pPr>
      <w:r>
        <w:rPr>
          <w:rFonts w:ascii="Arial" w:eastAsiaTheme="minorHAnsi" w:hAnsi="Arial" w:cs="Arial"/>
          <w:b/>
          <w:bCs/>
          <w:color w:val="4F81BD" w:themeColor="accent1"/>
          <w:sz w:val="22"/>
          <w:szCs w:val="22"/>
          <w:lang w:eastAsia="en-US"/>
        </w:rPr>
        <w:t>3</w:t>
      </w:r>
      <w:r w:rsidR="00D616A3" w:rsidRPr="00D616A3">
        <w:rPr>
          <w:rFonts w:ascii="Arial" w:eastAsiaTheme="minorHAnsi" w:hAnsi="Arial" w:cs="Arial"/>
          <w:b/>
          <w:bCs/>
          <w:color w:val="4F81BD" w:themeColor="accent1"/>
          <w:sz w:val="22"/>
          <w:szCs w:val="22"/>
          <w:lang w:eastAsia="en-US"/>
        </w:rPr>
        <w:t>.6 Legislativní oblast</w:t>
      </w:r>
    </w:p>
    <w:p w14:paraId="39495484" w14:textId="77777777" w:rsidR="00F303A7" w:rsidRDefault="00F303A7" w:rsidP="00D616A3">
      <w:pPr>
        <w:spacing w:line="264" w:lineRule="auto"/>
        <w:jc w:val="both"/>
        <w:rPr>
          <w:rFonts w:ascii="Arial" w:eastAsiaTheme="minorHAnsi" w:hAnsi="Arial" w:cs="Arial"/>
          <w:sz w:val="22"/>
          <w:szCs w:val="22"/>
          <w:lang w:eastAsia="en-US"/>
        </w:rPr>
      </w:pPr>
    </w:p>
    <w:p w14:paraId="1E89FA38" w14:textId="33A25BC1" w:rsidR="00D616A3" w:rsidRPr="00D616A3" w:rsidRDefault="00D616A3" w:rsidP="00D616A3">
      <w:pPr>
        <w:spacing w:line="264" w:lineRule="auto"/>
        <w:jc w:val="both"/>
        <w:rPr>
          <w:rFonts w:ascii="Arial" w:eastAsiaTheme="minorHAnsi" w:hAnsi="Arial" w:cs="Arial"/>
          <w:sz w:val="22"/>
          <w:szCs w:val="22"/>
          <w:lang w:eastAsia="en-US"/>
        </w:rPr>
      </w:pPr>
      <w:r w:rsidRPr="00D616A3">
        <w:rPr>
          <w:rFonts w:ascii="Arial" w:eastAsiaTheme="minorHAnsi" w:hAnsi="Arial" w:cs="Arial"/>
          <w:sz w:val="22"/>
          <w:szCs w:val="22"/>
          <w:lang w:eastAsia="en-US"/>
        </w:rPr>
        <w:t>Legislativní oblast byla zaměřena na spolupráci při novelizaci zákona č. 130/2002 Sb.</w:t>
      </w:r>
      <w:r w:rsidR="00CB4648">
        <w:rPr>
          <w:rFonts w:ascii="Arial" w:eastAsiaTheme="minorHAnsi" w:hAnsi="Arial" w:cs="Arial"/>
          <w:sz w:val="22"/>
          <w:szCs w:val="22"/>
          <w:lang w:eastAsia="en-US"/>
        </w:rPr>
        <w:t xml:space="preserve">, </w:t>
      </w:r>
      <w:r w:rsidR="00CB4648" w:rsidRPr="00CB4648">
        <w:rPr>
          <w:rFonts w:ascii="Arial" w:eastAsiaTheme="minorHAnsi" w:hAnsi="Arial" w:cs="Arial"/>
          <w:sz w:val="22"/>
          <w:szCs w:val="22"/>
          <w:lang w:eastAsia="en-US"/>
        </w:rPr>
        <w:t>o</w:t>
      </w:r>
      <w:r w:rsidR="00C64E14">
        <w:rPr>
          <w:rFonts w:ascii="Arial" w:eastAsiaTheme="minorHAnsi" w:hAnsi="Arial" w:cs="Arial"/>
          <w:sz w:val="22"/>
          <w:szCs w:val="22"/>
          <w:lang w:eastAsia="en-US"/>
        </w:rPr>
        <w:t> </w:t>
      </w:r>
      <w:r w:rsidR="00CB4648" w:rsidRPr="00CB4648">
        <w:rPr>
          <w:rFonts w:ascii="Arial" w:eastAsiaTheme="minorHAnsi" w:hAnsi="Arial" w:cs="Arial"/>
          <w:sz w:val="22"/>
          <w:szCs w:val="22"/>
          <w:lang w:eastAsia="en-US"/>
        </w:rPr>
        <w:t>podpoře výzkumu, experimentálního vývoje a inovací z veřejných prostředků a o změně některých souvisejících</w:t>
      </w:r>
      <w:r w:rsidRPr="00D616A3">
        <w:rPr>
          <w:rFonts w:ascii="Arial" w:eastAsiaTheme="minorHAnsi" w:hAnsi="Arial" w:cs="Arial"/>
          <w:sz w:val="22"/>
          <w:szCs w:val="22"/>
          <w:lang w:eastAsia="en-US"/>
        </w:rPr>
        <w:t>.</w:t>
      </w:r>
    </w:p>
    <w:p w14:paraId="29F041B7" w14:textId="77777777" w:rsidR="00D616A3" w:rsidRDefault="00D616A3" w:rsidP="00D616A3">
      <w:pPr>
        <w:spacing w:line="264" w:lineRule="auto"/>
        <w:jc w:val="both"/>
        <w:rPr>
          <w:rFonts w:ascii="Arial" w:eastAsiaTheme="minorHAnsi" w:hAnsi="Arial" w:cs="Arial"/>
          <w:sz w:val="22"/>
          <w:szCs w:val="22"/>
          <w:lang w:eastAsia="en-US"/>
        </w:rPr>
      </w:pPr>
    </w:p>
    <w:p w14:paraId="2E51064B" w14:textId="293323C7" w:rsidR="00D616A3" w:rsidRPr="00D616A3" w:rsidRDefault="00D616A3" w:rsidP="00D616A3">
      <w:pPr>
        <w:pBdr>
          <w:top w:val="single" w:sz="4" w:space="1" w:color="auto"/>
          <w:left w:val="single" w:sz="4" w:space="4" w:color="auto"/>
          <w:bottom w:val="single" w:sz="4" w:space="1" w:color="auto"/>
          <w:right w:val="single" w:sz="4" w:space="4" w:color="auto"/>
        </w:pBdr>
        <w:spacing w:line="264" w:lineRule="auto"/>
        <w:jc w:val="both"/>
        <w:rPr>
          <w:rFonts w:ascii="Arial" w:eastAsiaTheme="minorHAnsi" w:hAnsi="Arial" w:cs="Arial"/>
          <w:sz w:val="22"/>
          <w:szCs w:val="22"/>
          <w:lang w:eastAsia="en-US"/>
        </w:rPr>
      </w:pPr>
      <w:r w:rsidRPr="00D616A3">
        <w:rPr>
          <w:rFonts w:ascii="Arial" w:eastAsiaTheme="minorHAnsi" w:hAnsi="Arial" w:cs="Arial"/>
          <w:b/>
          <w:bCs/>
          <w:sz w:val="22"/>
          <w:szCs w:val="22"/>
          <w:lang w:eastAsia="en-US"/>
        </w:rPr>
        <w:t>Plnění</w:t>
      </w:r>
      <w:r w:rsidRPr="00D616A3">
        <w:rPr>
          <w:rFonts w:ascii="Arial" w:eastAsiaTheme="minorHAnsi" w:hAnsi="Arial" w:cs="Arial"/>
          <w:sz w:val="22"/>
          <w:szCs w:val="22"/>
          <w:lang w:eastAsia="en-US"/>
        </w:rPr>
        <w:t xml:space="preserve">: 1 indikátor, z toho </w:t>
      </w:r>
      <w:r w:rsidRPr="00D616A3">
        <w:rPr>
          <w:rFonts w:ascii="Arial" w:eastAsiaTheme="minorHAnsi" w:hAnsi="Arial" w:cs="Arial"/>
          <w:b/>
          <w:bCs/>
          <w:sz w:val="22"/>
          <w:szCs w:val="22"/>
          <w:lang w:eastAsia="en-US"/>
        </w:rPr>
        <w:t>1 ANO (100 %)</w:t>
      </w:r>
      <w:r w:rsidRPr="00D616A3">
        <w:rPr>
          <w:rFonts w:ascii="Arial" w:eastAsiaTheme="minorHAnsi" w:hAnsi="Arial" w:cs="Arial"/>
          <w:sz w:val="22"/>
          <w:szCs w:val="22"/>
          <w:lang w:eastAsia="en-US"/>
        </w:rPr>
        <w:t xml:space="preserve">, </w:t>
      </w:r>
      <w:r w:rsidRPr="00D616A3">
        <w:rPr>
          <w:rFonts w:ascii="Arial" w:eastAsiaTheme="minorHAnsi" w:hAnsi="Arial" w:cs="Arial"/>
          <w:b/>
          <w:bCs/>
          <w:sz w:val="22"/>
          <w:szCs w:val="22"/>
          <w:lang w:eastAsia="en-US"/>
        </w:rPr>
        <w:t>0 ČÁSTEČNĚ</w:t>
      </w:r>
      <w:r w:rsidRPr="00D616A3">
        <w:rPr>
          <w:rFonts w:ascii="Arial" w:eastAsiaTheme="minorHAnsi" w:hAnsi="Arial" w:cs="Arial"/>
          <w:sz w:val="22"/>
          <w:szCs w:val="22"/>
          <w:lang w:eastAsia="en-US"/>
        </w:rPr>
        <w:t xml:space="preserve">, </w:t>
      </w:r>
      <w:r w:rsidRPr="00D616A3">
        <w:rPr>
          <w:rFonts w:ascii="Arial" w:eastAsiaTheme="minorHAnsi" w:hAnsi="Arial" w:cs="Arial"/>
          <w:b/>
          <w:bCs/>
          <w:sz w:val="22"/>
          <w:szCs w:val="22"/>
          <w:lang w:eastAsia="en-US"/>
        </w:rPr>
        <w:t>0 NE</w:t>
      </w:r>
      <w:r w:rsidRPr="00D616A3">
        <w:rPr>
          <w:rFonts w:ascii="Arial" w:eastAsiaTheme="minorHAnsi" w:hAnsi="Arial" w:cs="Arial"/>
          <w:sz w:val="22"/>
          <w:szCs w:val="22"/>
          <w:lang w:eastAsia="en-US"/>
        </w:rPr>
        <w:t xml:space="preserve">. Vážené plnění: </w:t>
      </w:r>
      <w:r w:rsidRPr="00D616A3">
        <w:rPr>
          <w:rFonts w:ascii="Arial" w:eastAsiaTheme="minorHAnsi" w:hAnsi="Arial" w:cs="Arial"/>
          <w:b/>
          <w:bCs/>
          <w:color w:val="76923C" w:themeColor="accent3" w:themeShade="BF"/>
          <w:sz w:val="22"/>
          <w:szCs w:val="22"/>
          <w:lang w:eastAsia="en-US"/>
        </w:rPr>
        <w:t>100 %</w:t>
      </w:r>
      <w:r w:rsidRPr="00D616A3">
        <w:rPr>
          <w:rFonts w:ascii="Arial" w:eastAsiaTheme="minorHAnsi" w:hAnsi="Arial" w:cs="Arial"/>
          <w:sz w:val="22"/>
          <w:szCs w:val="22"/>
          <w:lang w:eastAsia="en-US"/>
        </w:rPr>
        <w:t>.</w:t>
      </w:r>
    </w:p>
    <w:p w14:paraId="1A32C819" w14:textId="77777777" w:rsidR="00D616A3" w:rsidRDefault="00D616A3" w:rsidP="00D616A3">
      <w:pPr>
        <w:spacing w:line="264" w:lineRule="auto"/>
        <w:jc w:val="both"/>
        <w:rPr>
          <w:rFonts w:ascii="Arial" w:eastAsiaTheme="minorHAnsi" w:hAnsi="Arial" w:cs="Arial"/>
          <w:sz w:val="22"/>
          <w:szCs w:val="22"/>
          <w:lang w:eastAsia="en-US"/>
        </w:rPr>
      </w:pPr>
    </w:p>
    <w:p w14:paraId="756B3DD0" w14:textId="22B61F3A" w:rsidR="00D616A3" w:rsidRDefault="00D616A3" w:rsidP="00D616A3">
      <w:pPr>
        <w:spacing w:line="264" w:lineRule="auto"/>
        <w:jc w:val="both"/>
        <w:rPr>
          <w:rFonts w:ascii="Arial" w:eastAsiaTheme="minorHAnsi" w:hAnsi="Arial" w:cs="Arial"/>
          <w:sz w:val="22"/>
          <w:szCs w:val="22"/>
          <w:lang w:eastAsia="en-US"/>
        </w:rPr>
      </w:pPr>
      <w:r w:rsidRPr="00D616A3">
        <w:rPr>
          <w:rFonts w:ascii="Arial" w:eastAsiaTheme="minorHAnsi" w:hAnsi="Arial" w:cs="Arial"/>
          <w:sz w:val="22"/>
          <w:szCs w:val="22"/>
          <w:lang w:eastAsia="en-US"/>
        </w:rPr>
        <w:t>Opatření bylo splněno v plném rozsahu – vznikl technický návrh změn a byla zajištěna součinnost při přípravě nového zákona č. 328/2025 Sb., o výzkumu, vývoji, inovacích a</w:t>
      </w:r>
      <w:r w:rsidR="00ED4CD0">
        <w:rPr>
          <w:rFonts w:ascii="Arial" w:eastAsiaTheme="minorHAnsi" w:hAnsi="Arial" w:cs="Arial"/>
          <w:sz w:val="22"/>
          <w:szCs w:val="22"/>
          <w:lang w:eastAsia="en-US"/>
        </w:rPr>
        <w:t> </w:t>
      </w:r>
      <w:r w:rsidRPr="00D616A3">
        <w:rPr>
          <w:rFonts w:ascii="Arial" w:eastAsiaTheme="minorHAnsi" w:hAnsi="Arial" w:cs="Arial"/>
          <w:sz w:val="22"/>
          <w:szCs w:val="22"/>
          <w:lang w:eastAsia="en-US"/>
        </w:rPr>
        <w:t>transferu znalostí. Tato oblast významně přispěla k legislativní připravenosti systému</w:t>
      </w:r>
      <w:r w:rsidR="00ED4CD0">
        <w:rPr>
          <w:rFonts w:ascii="Arial" w:eastAsiaTheme="minorHAnsi" w:hAnsi="Arial" w:cs="Arial"/>
          <w:sz w:val="22"/>
          <w:szCs w:val="22"/>
          <w:lang w:eastAsia="en-US"/>
        </w:rPr>
        <w:t>:</w:t>
      </w:r>
    </w:p>
    <w:p w14:paraId="79656E97" w14:textId="77777777" w:rsidR="00ED4CD0" w:rsidRDefault="00ED4CD0" w:rsidP="00D616A3">
      <w:pPr>
        <w:spacing w:line="264" w:lineRule="auto"/>
        <w:jc w:val="both"/>
        <w:rPr>
          <w:rFonts w:ascii="Arial" w:eastAsiaTheme="minorHAnsi" w:hAnsi="Arial" w:cs="Arial"/>
          <w:sz w:val="22"/>
          <w:szCs w:val="22"/>
          <w:lang w:eastAsia="en-US"/>
        </w:rPr>
      </w:pPr>
    </w:p>
    <w:p w14:paraId="3C4AF520" w14:textId="6F781115" w:rsidR="00ED4CD0" w:rsidRPr="00ED4CD0" w:rsidRDefault="00ED4CD0" w:rsidP="003B3110">
      <w:pPr>
        <w:pStyle w:val="Odstavecseseznamem"/>
        <w:numPr>
          <w:ilvl w:val="0"/>
          <w:numId w:val="6"/>
        </w:numPr>
        <w:spacing w:line="264" w:lineRule="auto"/>
        <w:jc w:val="both"/>
        <w:rPr>
          <w:rFonts w:ascii="Arial" w:eastAsiaTheme="minorHAnsi" w:hAnsi="Arial" w:cs="Arial"/>
          <w:sz w:val="22"/>
          <w:szCs w:val="22"/>
          <w:lang w:eastAsia="en-US"/>
        </w:rPr>
      </w:pPr>
      <w:r w:rsidRPr="00ED4CD0">
        <w:rPr>
          <w:rFonts w:ascii="Arial" w:eastAsiaTheme="minorHAnsi" w:hAnsi="Arial" w:cs="Arial"/>
          <w:sz w:val="22"/>
          <w:szCs w:val="22"/>
          <w:lang w:eastAsia="en-US"/>
        </w:rPr>
        <w:t>spolupráce na přípravě nového zákona č. 328/2025 Sb.,</w:t>
      </w:r>
    </w:p>
    <w:p w14:paraId="0386C5CE" w14:textId="020F22E9" w:rsidR="00ED4CD0" w:rsidRPr="00ED4CD0" w:rsidRDefault="00ED4CD0" w:rsidP="003B3110">
      <w:pPr>
        <w:pStyle w:val="Odstavecseseznamem"/>
        <w:numPr>
          <w:ilvl w:val="0"/>
          <w:numId w:val="6"/>
        </w:numPr>
        <w:spacing w:line="264" w:lineRule="auto"/>
        <w:jc w:val="both"/>
        <w:rPr>
          <w:rFonts w:ascii="Arial" w:eastAsiaTheme="minorHAnsi" w:hAnsi="Arial" w:cs="Arial"/>
          <w:sz w:val="22"/>
          <w:szCs w:val="22"/>
          <w:lang w:eastAsia="en-US"/>
        </w:rPr>
      </w:pPr>
      <w:r>
        <w:rPr>
          <w:rFonts w:ascii="Arial" w:eastAsiaTheme="minorHAnsi" w:hAnsi="Arial" w:cs="Arial"/>
          <w:sz w:val="22"/>
          <w:szCs w:val="22"/>
          <w:lang w:eastAsia="en-US"/>
        </w:rPr>
        <w:t xml:space="preserve">bylo </w:t>
      </w:r>
      <w:r w:rsidRPr="00ED4CD0">
        <w:rPr>
          <w:rFonts w:ascii="Arial" w:eastAsiaTheme="minorHAnsi" w:hAnsi="Arial" w:cs="Arial"/>
          <w:sz w:val="22"/>
          <w:szCs w:val="22"/>
          <w:lang w:eastAsia="en-US"/>
        </w:rPr>
        <w:t>aktualiz</w:t>
      </w:r>
      <w:r>
        <w:rPr>
          <w:rFonts w:ascii="Arial" w:eastAsiaTheme="minorHAnsi" w:hAnsi="Arial" w:cs="Arial"/>
          <w:sz w:val="22"/>
          <w:szCs w:val="22"/>
          <w:lang w:eastAsia="en-US"/>
        </w:rPr>
        <w:t xml:space="preserve">ováno </w:t>
      </w:r>
      <w:r w:rsidRPr="00ED4CD0">
        <w:rPr>
          <w:rFonts w:ascii="Arial" w:eastAsiaTheme="minorHAnsi" w:hAnsi="Arial" w:cs="Arial"/>
          <w:sz w:val="22"/>
          <w:szCs w:val="22"/>
          <w:lang w:eastAsia="en-US"/>
        </w:rPr>
        <w:t>nařízení vlády o IS VaVaI pro zajištění legislativní shody.</w:t>
      </w:r>
    </w:p>
    <w:p w14:paraId="2E2F5B36" w14:textId="77777777" w:rsidR="00D616A3" w:rsidRDefault="00D616A3" w:rsidP="00D616A3">
      <w:pPr>
        <w:spacing w:line="264" w:lineRule="auto"/>
        <w:jc w:val="both"/>
        <w:rPr>
          <w:rFonts w:ascii="Arial" w:eastAsiaTheme="minorHAnsi" w:hAnsi="Arial" w:cs="Arial"/>
          <w:sz w:val="22"/>
          <w:szCs w:val="22"/>
          <w:lang w:eastAsia="en-US"/>
        </w:rPr>
      </w:pPr>
    </w:p>
    <w:p w14:paraId="5F8B0BCA" w14:textId="77777777" w:rsidR="0001391A" w:rsidRPr="00D616A3" w:rsidRDefault="0001391A" w:rsidP="00D616A3">
      <w:pPr>
        <w:spacing w:line="264" w:lineRule="auto"/>
        <w:jc w:val="both"/>
        <w:rPr>
          <w:rFonts w:ascii="Arial" w:eastAsiaTheme="minorHAnsi" w:hAnsi="Arial" w:cs="Arial"/>
          <w:sz w:val="22"/>
          <w:szCs w:val="22"/>
          <w:lang w:eastAsia="en-US"/>
        </w:rPr>
      </w:pPr>
    </w:p>
    <w:p w14:paraId="69CAE9D3" w14:textId="55CDA851" w:rsidR="00D616A3" w:rsidRPr="00D616A3" w:rsidRDefault="00453DFB" w:rsidP="00D616A3">
      <w:pPr>
        <w:spacing w:line="264" w:lineRule="auto"/>
        <w:jc w:val="both"/>
        <w:rPr>
          <w:rFonts w:ascii="Arial" w:eastAsiaTheme="minorHAnsi" w:hAnsi="Arial" w:cs="Arial"/>
          <w:b/>
          <w:bCs/>
          <w:color w:val="4F81BD" w:themeColor="accent1"/>
          <w:sz w:val="22"/>
          <w:szCs w:val="22"/>
          <w:lang w:eastAsia="en-US"/>
        </w:rPr>
      </w:pPr>
      <w:r>
        <w:rPr>
          <w:rFonts w:ascii="Arial" w:eastAsiaTheme="minorHAnsi" w:hAnsi="Arial" w:cs="Arial"/>
          <w:b/>
          <w:bCs/>
          <w:color w:val="4F81BD" w:themeColor="accent1"/>
          <w:sz w:val="22"/>
          <w:szCs w:val="22"/>
          <w:lang w:eastAsia="en-US"/>
        </w:rPr>
        <w:t>3</w:t>
      </w:r>
      <w:r w:rsidR="00D616A3" w:rsidRPr="00D616A3">
        <w:rPr>
          <w:rFonts w:ascii="Arial" w:eastAsiaTheme="minorHAnsi" w:hAnsi="Arial" w:cs="Arial"/>
          <w:b/>
          <w:bCs/>
          <w:color w:val="4F81BD" w:themeColor="accent1"/>
          <w:sz w:val="22"/>
          <w:szCs w:val="22"/>
          <w:lang w:eastAsia="en-US"/>
        </w:rPr>
        <w:t>.7 Konsolidace dat a propojování IS VaVaI s ostatními ISVS</w:t>
      </w:r>
    </w:p>
    <w:p w14:paraId="478C4DCB" w14:textId="77777777" w:rsidR="00195DAD" w:rsidRDefault="00195DAD" w:rsidP="00D616A3">
      <w:pPr>
        <w:spacing w:line="264" w:lineRule="auto"/>
        <w:jc w:val="both"/>
        <w:rPr>
          <w:rFonts w:ascii="Arial" w:eastAsiaTheme="minorHAnsi" w:hAnsi="Arial" w:cs="Arial"/>
          <w:sz w:val="22"/>
          <w:szCs w:val="22"/>
          <w:lang w:eastAsia="en-US"/>
        </w:rPr>
      </w:pPr>
    </w:p>
    <w:p w14:paraId="2BA76E1C" w14:textId="53895D97" w:rsidR="001E230F" w:rsidRPr="001E230F" w:rsidRDefault="00D616A3" w:rsidP="001E230F">
      <w:pPr>
        <w:spacing w:line="264" w:lineRule="auto"/>
        <w:jc w:val="both"/>
        <w:rPr>
          <w:rFonts w:ascii="Arial" w:eastAsiaTheme="minorHAnsi" w:hAnsi="Arial" w:cs="Arial"/>
          <w:sz w:val="22"/>
          <w:szCs w:val="22"/>
          <w:lang w:eastAsia="en-US"/>
        </w:rPr>
      </w:pPr>
      <w:r w:rsidRPr="00D616A3">
        <w:rPr>
          <w:rFonts w:ascii="Arial" w:eastAsiaTheme="minorHAnsi" w:hAnsi="Arial" w:cs="Arial"/>
          <w:sz w:val="22"/>
          <w:szCs w:val="22"/>
          <w:lang w:eastAsia="en-US"/>
        </w:rPr>
        <w:t>Tato oblast byla nejsložitější z hlediska realizace, protože zahrnovala napojení na základní registry (ROS, ROB, RÚIAN), Úřad průmyslového vlastnictví, Národní e</w:t>
      </w:r>
      <w:r w:rsidRPr="00D616A3">
        <w:rPr>
          <w:rFonts w:ascii="Cambria Math" w:eastAsiaTheme="minorHAnsi" w:hAnsi="Cambria Math" w:cs="Cambria Math"/>
          <w:sz w:val="22"/>
          <w:szCs w:val="22"/>
          <w:lang w:eastAsia="en-US"/>
        </w:rPr>
        <w:t>‑</w:t>
      </w:r>
      <w:r w:rsidRPr="00D616A3">
        <w:rPr>
          <w:rFonts w:ascii="Arial" w:eastAsiaTheme="minorHAnsi" w:hAnsi="Arial" w:cs="Arial"/>
          <w:sz w:val="22"/>
          <w:szCs w:val="22"/>
          <w:lang w:eastAsia="en-US"/>
        </w:rPr>
        <w:t>knihovnu a další systémy.</w:t>
      </w:r>
      <w:r w:rsidR="001E230F">
        <w:rPr>
          <w:rFonts w:ascii="Arial" w:eastAsiaTheme="minorHAnsi" w:hAnsi="Arial" w:cs="Arial"/>
          <w:sz w:val="22"/>
          <w:szCs w:val="22"/>
          <w:lang w:eastAsia="en-US"/>
        </w:rPr>
        <w:t xml:space="preserve"> </w:t>
      </w:r>
      <w:r w:rsidR="001E230F" w:rsidRPr="001E230F">
        <w:rPr>
          <w:rFonts w:ascii="Arial" w:eastAsiaTheme="minorHAnsi" w:hAnsi="Arial" w:cs="Arial"/>
          <w:sz w:val="22"/>
          <w:szCs w:val="22"/>
          <w:lang w:eastAsia="en-US"/>
        </w:rPr>
        <w:t xml:space="preserve">V rámci </w:t>
      </w:r>
      <w:r w:rsidR="001E230F">
        <w:rPr>
          <w:rFonts w:ascii="Arial" w:eastAsiaTheme="minorHAnsi" w:hAnsi="Arial" w:cs="Arial"/>
          <w:sz w:val="22"/>
          <w:szCs w:val="22"/>
          <w:lang w:eastAsia="en-US"/>
        </w:rPr>
        <w:t>dokumentu</w:t>
      </w:r>
      <w:r w:rsidR="001E230F" w:rsidRPr="001E230F">
        <w:rPr>
          <w:rFonts w:ascii="Arial" w:eastAsiaTheme="minorHAnsi" w:hAnsi="Arial" w:cs="Arial"/>
          <w:sz w:val="22"/>
          <w:szCs w:val="22"/>
          <w:lang w:eastAsia="en-US"/>
        </w:rPr>
        <w:t xml:space="preserve"> bylo definováno hned několik indikátorů, které se soustředily </w:t>
      </w:r>
      <w:r w:rsidR="001E230F" w:rsidRPr="001E230F">
        <w:rPr>
          <w:rFonts w:ascii="Arial" w:eastAsiaTheme="minorHAnsi" w:hAnsi="Arial" w:cs="Arial"/>
          <w:sz w:val="22"/>
          <w:szCs w:val="22"/>
          <w:lang w:eastAsia="en-US"/>
        </w:rPr>
        <w:lastRenderedPageBreak/>
        <w:t>na</w:t>
      </w:r>
      <w:r w:rsidR="00475FAC">
        <w:rPr>
          <w:rFonts w:ascii="Arial" w:eastAsiaTheme="minorHAnsi" w:hAnsi="Arial" w:cs="Arial"/>
          <w:sz w:val="22"/>
          <w:szCs w:val="22"/>
          <w:lang w:eastAsia="en-US"/>
        </w:rPr>
        <w:t> </w:t>
      </w:r>
      <w:r w:rsidR="001E230F" w:rsidRPr="001E230F">
        <w:rPr>
          <w:rFonts w:ascii="Arial" w:eastAsiaTheme="minorHAnsi" w:hAnsi="Arial" w:cs="Arial"/>
          <w:sz w:val="22"/>
          <w:szCs w:val="22"/>
          <w:lang w:eastAsia="en-US"/>
        </w:rPr>
        <w:t>zajištění technických podmínek pro tato napojení, jejich implementaci a následné využívání referenčních údajů.</w:t>
      </w:r>
    </w:p>
    <w:p w14:paraId="2879413C" w14:textId="5137E982" w:rsidR="00D616A3" w:rsidRPr="00D616A3" w:rsidRDefault="00D616A3" w:rsidP="00D616A3">
      <w:pPr>
        <w:spacing w:line="264" w:lineRule="auto"/>
        <w:jc w:val="both"/>
        <w:rPr>
          <w:rFonts w:ascii="Arial" w:eastAsiaTheme="minorHAnsi" w:hAnsi="Arial" w:cs="Arial"/>
          <w:sz w:val="22"/>
          <w:szCs w:val="22"/>
          <w:lang w:eastAsia="en-US"/>
        </w:rPr>
      </w:pPr>
    </w:p>
    <w:p w14:paraId="4EC85EC2" w14:textId="6C913152" w:rsidR="00D616A3" w:rsidRPr="00D616A3" w:rsidRDefault="00D616A3" w:rsidP="00195DAD">
      <w:pPr>
        <w:pBdr>
          <w:top w:val="single" w:sz="4" w:space="1" w:color="auto"/>
          <w:left w:val="single" w:sz="4" w:space="4" w:color="auto"/>
          <w:bottom w:val="single" w:sz="4" w:space="1" w:color="auto"/>
          <w:right w:val="single" w:sz="4" w:space="4" w:color="auto"/>
        </w:pBdr>
        <w:spacing w:line="264" w:lineRule="auto"/>
        <w:jc w:val="both"/>
        <w:rPr>
          <w:rFonts w:ascii="Arial" w:eastAsiaTheme="minorHAnsi" w:hAnsi="Arial" w:cs="Arial"/>
          <w:sz w:val="22"/>
          <w:szCs w:val="22"/>
          <w:lang w:eastAsia="en-US"/>
        </w:rPr>
      </w:pPr>
      <w:r w:rsidRPr="00195DAD">
        <w:rPr>
          <w:rFonts w:ascii="Arial" w:eastAsiaTheme="minorHAnsi" w:hAnsi="Arial" w:cs="Arial"/>
          <w:b/>
          <w:bCs/>
          <w:sz w:val="22"/>
          <w:szCs w:val="22"/>
          <w:lang w:eastAsia="en-US"/>
        </w:rPr>
        <w:t>Plnění</w:t>
      </w:r>
      <w:r w:rsidRPr="00D616A3">
        <w:rPr>
          <w:rFonts w:ascii="Arial" w:eastAsiaTheme="minorHAnsi" w:hAnsi="Arial" w:cs="Arial"/>
          <w:sz w:val="22"/>
          <w:szCs w:val="22"/>
          <w:lang w:eastAsia="en-US"/>
        </w:rPr>
        <w:t xml:space="preserve">: 9 indikátorů, z toho </w:t>
      </w:r>
      <w:r w:rsidRPr="00195DAD">
        <w:rPr>
          <w:rFonts w:ascii="Arial" w:eastAsiaTheme="minorHAnsi" w:hAnsi="Arial" w:cs="Arial"/>
          <w:b/>
          <w:bCs/>
          <w:sz w:val="22"/>
          <w:szCs w:val="22"/>
          <w:lang w:eastAsia="en-US"/>
        </w:rPr>
        <w:t>1 ANO (11,1 %)</w:t>
      </w:r>
      <w:r w:rsidRPr="00D616A3">
        <w:rPr>
          <w:rFonts w:ascii="Arial" w:eastAsiaTheme="minorHAnsi" w:hAnsi="Arial" w:cs="Arial"/>
          <w:sz w:val="22"/>
          <w:szCs w:val="22"/>
          <w:lang w:eastAsia="en-US"/>
        </w:rPr>
        <w:t xml:space="preserve">, </w:t>
      </w:r>
      <w:r w:rsidRPr="00195DAD">
        <w:rPr>
          <w:rFonts w:ascii="Arial" w:eastAsiaTheme="minorHAnsi" w:hAnsi="Arial" w:cs="Arial"/>
          <w:b/>
          <w:bCs/>
          <w:sz w:val="22"/>
          <w:szCs w:val="22"/>
          <w:lang w:eastAsia="en-US"/>
        </w:rPr>
        <w:t>1 ČÁSTEČNĚ (11,1 %)</w:t>
      </w:r>
      <w:r w:rsidRPr="00D616A3">
        <w:rPr>
          <w:rFonts w:ascii="Arial" w:eastAsiaTheme="minorHAnsi" w:hAnsi="Arial" w:cs="Arial"/>
          <w:sz w:val="22"/>
          <w:szCs w:val="22"/>
          <w:lang w:eastAsia="en-US"/>
        </w:rPr>
        <w:t xml:space="preserve">, </w:t>
      </w:r>
      <w:r w:rsidRPr="00195DAD">
        <w:rPr>
          <w:rFonts w:ascii="Arial" w:eastAsiaTheme="minorHAnsi" w:hAnsi="Arial" w:cs="Arial"/>
          <w:b/>
          <w:bCs/>
          <w:sz w:val="22"/>
          <w:szCs w:val="22"/>
          <w:lang w:eastAsia="en-US"/>
        </w:rPr>
        <w:t>7 NE (77,8 %)</w:t>
      </w:r>
      <w:r w:rsidRPr="00D616A3">
        <w:rPr>
          <w:rFonts w:ascii="Arial" w:eastAsiaTheme="minorHAnsi" w:hAnsi="Arial" w:cs="Arial"/>
          <w:sz w:val="22"/>
          <w:szCs w:val="22"/>
          <w:lang w:eastAsia="en-US"/>
        </w:rPr>
        <w:t xml:space="preserve">. Vážené plnění: </w:t>
      </w:r>
      <w:r w:rsidRPr="00982F98">
        <w:rPr>
          <w:rFonts w:ascii="Arial" w:eastAsiaTheme="minorHAnsi" w:hAnsi="Arial" w:cs="Arial"/>
          <w:b/>
          <w:bCs/>
          <w:color w:val="EE0000"/>
          <w:sz w:val="22"/>
          <w:szCs w:val="22"/>
          <w:lang w:eastAsia="en-US"/>
        </w:rPr>
        <w:t>16,7 %</w:t>
      </w:r>
      <w:r w:rsidRPr="00D616A3">
        <w:rPr>
          <w:rFonts w:ascii="Arial" w:eastAsiaTheme="minorHAnsi" w:hAnsi="Arial" w:cs="Arial"/>
          <w:sz w:val="22"/>
          <w:szCs w:val="22"/>
          <w:lang w:eastAsia="en-US"/>
        </w:rPr>
        <w:t>.</w:t>
      </w:r>
    </w:p>
    <w:p w14:paraId="43CA1083" w14:textId="77777777" w:rsidR="00195DAD" w:rsidRDefault="00195DAD" w:rsidP="00D616A3">
      <w:pPr>
        <w:spacing w:line="264" w:lineRule="auto"/>
        <w:jc w:val="both"/>
        <w:rPr>
          <w:rFonts w:ascii="Arial" w:eastAsiaTheme="minorHAnsi" w:hAnsi="Arial" w:cs="Arial"/>
          <w:sz w:val="22"/>
          <w:szCs w:val="22"/>
          <w:lang w:eastAsia="en-US"/>
        </w:rPr>
      </w:pPr>
    </w:p>
    <w:p w14:paraId="3730C851" w14:textId="15529BB5" w:rsidR="0024493F" w:rsidRPr="0024493F" w:rsidRDefault="0024493F" w:rsidP="0024493F">
      <w:pPr>
        <w:spacing w:line="264" w:lineRule="auto"/>
        <w:jc w:val="both"/>
        <w:rPr>
          <w:rFonts w:ascii="Arial" w:eastAsiaTheme="minorHAnsi" w:hAnsi="Arial" w:cs="Arial"/>
          <w:sz w:val="22"/>
          <w:szCs w:val="22"/>
          <w:lang w:eastAsia="en-US"/>
        </w:rPr>
      </w:pPr>
      <w:r w:rsidRPr="0024493F">
        <w:rPr>
          <w:rFonts w:ascii="Arial" w:eastAsiaTheme="minorHAnsi" w:hAnsi="Arial" w:cs="Arial"/>
          <w:sz w:val="22"/>
          <w:szCs w:val="22"/>
          <w:lang w:eastAsia="en-US"/>
        </w:rPr>
        <w:t>Nízká míra plnění neznamená absenci aktivity, ale odráží složitost úkolu a vědomou prioritizaci. Většina indikátorů byla navázána na napojení na základní registry</w:t>
      </w:r>
      <w:r w:rsidR="00C84329">
        <w:rPr>
          <w:rFonts w:ascii="Arial" w:eastAsiaTheme="minorHAnsi" w:hAnsi="Arial" w:cs="Arial"/>
          <w:sz w:val="22"/>
          <w:szCs w:val="22"/>
          <w:lang w:eastAsia="en-US"/>
        </w:rPr>
        <w:t xml:space="preserve"> (5)</w:t>
      </w:r>
      <w:r w:rsidRPr="0024493F">
        <w:rPr>
          <w:rFonts w:ascii="Arial" w:eastAsiaTheme="minorHAnsi" w:hAnsi="Arial" w:cs="Arial"/>
          <w:sz w:val="22"/>
          <w:szCs w:val="22"/>
          <w:lang w:eastAsia="en-US"/>
        </w:rPr>
        <w:t>, což je technicky i legislativně náročný proces vyžadující součinnost s více správci agend a dodržení přísných bezpečnostních a datových standardů. V průběhu období navíc došlo ke změně legislativního rámce (nový zákon č. 328/2025 Sb.), která zásadně ovlivnila datovou základnu IS VaVaI a vyžadovala přepracování původních návrhů.</w:t>
      </w:r>
    </w:p>
    <w:p w14:paraId="6F0B5DF2" w14:textId="77777777" w:rsidR="0024493F" w:rsidRDefault="0024493F" w:rsidP="0024493F">
      <w:pPr>
        <w:spacing w:line="264" w:lineRule="auto"/>
        <w:jc w:val="both"/>
        <w:rPr>
          <w:rFonts w:ascii="Arial" w:eastAsiaTheme="minorHAnsi" w:hAnsi="Arial" w:cs="Arial"/>
          <w:sz w:val="22"/>
          <w:szCs w:val="22"/>
          <w:lang w:eastAsia="en-US"/>
        </w:rPr>
      </w:pPr>
    </w:p>
    <w:p w14:paraId="65818AAA" w14:textId="1A474C76" w:rsidR="0024493F" w:rsidRPr="0024493F" w:rsidRDefault="0024493F" w:rsidP="0024493F">
      <w:pPr>
        <w:spacing w:line="264" w:lineRule="auto"/>
        <w:jc w:val="both"/>
        <w:rPr>
          <w:rFonts w:ascii="Arial" w:eastAsiaTheme="minorHAnsi" w:hAnsi="Arial" w:cs="Arial"/>
          <w:sz w:val="22"/>
          <w:szCs w:val="22"/>
          <w:lang w:eastAsia="en-US"/>
        </w:rPr>
      </w:pPr>
      <w:r w:rsidRPr="0024493F">
        <w:rPr>
          <w:rFonts w:ascii="Arial" w:eastAsiaTheme="minorHAnsi" w:hAnsi="Arial" w:cs="Arial"/>
          <w:sz w:val="22"/>
          <w:szCs w:val="22"/>
          <w:lang w:eastAsia="en-US"/>
        </w:rPr>
        <w:t xml:space="preserve">Je však důležité zdůraznit, že IS VaVaI je otevřený a transparentní – poskytuje veřejná data ve strojově čitelných formátech a disponuje API rozhraním, které umožňuje orgánům veřejné správy i dalším oprávněným subjektům přístup k datům. </w:t>
      </w:r>
      <w:r w:rsidR="006F0CEE" w:rsidRPr="006F0CEE">
        <w:rPr>
          <w:rFonts w:ascii="Arial" w:eastAsiaTheme="minorHAnsi" w:hAnsi="Arial" w:cs="Arial"/>
          <w:sz w:val="22"/>
          <w:szCs w:val="22"/>
          <w:lang w:eastAsia="en-US"/>
        </w:rPr>
        <w:t>Systém je již napojen na</w:t>
      </w:r>
      <w:r w:rsidR="00CC5066">
        <w:rPr>
          <w:rFonts w:ascii="Arial" w:eastAsiaTheme="minorHAnsi" w:hAnsi="Arial" w:cs="Arial"/>
          <w:sz w:val="22"/>
          <w:szCs w:val="22"/>
          <w:lang w:eastAsia="en-US"/>
        </w:rPr>
        <w:t> </w:t>
      </w:r>
      <w:r w:rsidR="00742CB2" w:rsidRPr="00742CB2">
        <w:rPr>
          <w:rFonts w:ascii="Arial" w:eastAsiaTheme="minorHAnsi" w:hAnsi="Arial" w:cs="Arial"/>
          <w:sz w:val="22"/>
          <w:szCs w:val="22"/>
          <w:lang w:eastAsia="en-US"/>
        </w:rPr>
        <w:t>Zjednodušen</w:t>
      </w:r>
      <w:r w:rsidR="00742CB2">
        <w:rPr>
          <w:rFonts w:ascii="Arial" w:eastAsiaTheme="minorHAnsi" w:hAnsi="Arial" w:cs="Arial"/>
          <w:sz w:val="22"/>
          <w:szCs w:val="22"/>
          <w:lang w:eastAsia="en-US"/>
        </w:rPr>
        <w:t>ou</w:t>
      </w:r>
      <w:r w:rsidR="00742CB2" w:rsidRPr="00742CB2">
        <w:rPr>
          <w:rFonts w:ascii="Arial" w:eastAsiaTheme="minorHAnsi" w:hAnsi="Arial" w:cs="Arial"/>
          <w:sz w:val="22"/>
          <w:szCs w:val="22"/>
          <w:lang w:eastAsia="en-US"/>
        </w:rPr>
        <w:t xml:space="preserve"> evidenc</w:t>
      </w:r>
      <w:r w:rsidR="00742CB2">
        <w:rPr>
          <w:rFonts w:ascii="Arial" w:eastAsiaTheme="minorHAnsi" w:hAnsi="Arial" w:cs="Arial"/>
          <w:sz w:val="22"/>
          <w:szCs w:val="22"/>
          <w:lang w:eastAsia="en-US"/>
        </w:rPr>
        <w:t>i</w:t>
      </w:r>
      <w:r w:rsidR="00742CB2" w:rsidRPr="00742CB2">
        <w:rPr>
          <w:rFonts w:ascii="Arial" w:eastAsiaTheme="minorHAnsi" w:hAnsi="Arial" w:cs="Arial"/>
          <w:sz w:val="22"/>
          <w:szCs w:val="22"/>
          <w:lang w:eastAsia="en-US"/>
        </w:rPr>
        <w:t xml:space="preserve"> dotací </w:t>
      </w:r>
      <w:r w:rsidR="004A5E73" w:rsidRPr="00742CB2">
        <w:rPr>
          <w:rFonts w:ascii="Arial" w:eastAsiaTheme="minorHAnsi" w:hAnsi="Arial" w:cs="Arial"/>
          <w:sz w:val="22"/>
          <w:szCs w:val="22"/>
          <w:lang w:eastAsia="en-US"/>
        </w:rPr>
        <w:t>Ministerstva financí</w:t>
      </w:r>
      <w:r w:rsidR="004A5E73">
        <w:rPr>
          <w:rFonts w:ascii="Arial" w:eastAsiaTheme="minorHAnsi" w:hAnsi="Arial" w:cs="Arial"/>
          <w:sz w:val="22"/>
          <w:szCs w:val="22"/>
          <w:lang w:eastAsia="en-US"/>
        </w:rPr>
        <w:t xml:space="preserve"> – jedná</w:t>
      </w:r>
      <w:r w:rsidR="00742CB2" w:rsidRPr="00742CB2">
        <w:rPr>
          <w:rFonts w:ascii="Arial" w:eastAsiaTheme="minorHAnsi" w:hAnsi="Arial" w:cs="Arial"/>
          <w:sz w:val="22"/>
          <w:szCs w:val="22"/>
          <w:lang w:eastAsia="en-US"/>
        </w:rPr>
        <w:t xml:space="preserve"> se o modul Rozpočtového informačního systému programového financování (RISPF)</w:t>
      </w:r>
      <w:r w:rsidR="00742CB2">
        <w:rPr>
          <w:rFonts w:ascii="Arial" w:eastAsiaTheme="minorHAnsi" w:hAnsi="Arial" w:cs="Arial"/>
          <w:sz w:val="22"/>
          <w:szCs w:val="22"/>
          <w:lang w:eastAsia="en-US"/>
        </w:rPr>
        <w:t>. Toto propojení</w:t>
      </w:r>
      <w:r w:rsidR="006F0CEE" w:rsidRPr="006F0CEE">
        <w:rPr>
          <w:rFonts w:ascii="Arial" w:eastAsiaTheme="minorHAnsi" w:hAnsi="Arial" w:cs="Arial"/>
          <w:sz w:val="22"/>
          <w:szCs w:val="22"/>
          <w:lang w:eastAsia="en-US"/>
        </w:rPr>
        <w:t xml:space="preserve"> umožňuje automatizovanou výměnu finančních údajů mezi IS VaVaI a Ministerstvem financí. Tím</w:t>
      </w:r>
      <w:r w:rsidR="00BD6332">
        <w:rPr>
          <w:rFonts w:ascii="Arial" w:eastAsiaTheme="minorHAnsi" w:hAnsi="Arial" w:cs="Arial"/>
          <w:sz w:val="22"/>
          <w:szCs w:val="22"/>
          <w:lang w:eastAsia="en-US"/>
        </w:rPr>
        <w:t> </w:t>
      </w:r>
      <w:r w:rsidR="006F0CEE" w:rsidRPr="006F0CEE">
        <w:rPr>
          <w:rFonts w:ascii="Arial" w:eastAsiaTheme="minorHAnsi" w:hAnsi="Arial" w:cs="Arial"/>
          <w:sz w:val="22"/>
          <w:szCs w:val="22"/>
          <w:lang w:eastAsia="en-US"/>
        </w:rPr>
        <w:t>se</w:t>
      </w:r>
      <w:r w:rsidR="00BD6332">
        <w:rPr>
          <w:rFonts w:ascii="Arial" w:eastAsiaTheme="minorHAnsi" w:hAnsi="Arial" w:cs="Arial"/>
          <w:sz w:val="22"/>
          <w:szCs w:val="22"/>
          <w:lang w:eastAsia="en-US"/>
        </w:rPr>
        <w:t> </w:t>
      </w:r>
      <w:r w:rsidR="006F0CEE" w:rsidRPr="006F0CEE">
        <w:rPr>
          <w:rFonts w:ascii="Arial" w:eastAsiaTheme="minorHAnsi" w:hAnsi="Arial" w:cs="Arial"/>
          <w:sz w:val="22"/>
          <w:szCs w:val="22"/>
          <w:lang w:eastAsia="en-US"/>
        </w:rPr>
        <w:t>zajišťuje propojení agend financování VaVaI s centrálními rozpočtovými procesy státu a</w:t>
      </w:r>
      <w:r w:rsidR="00BD6332">
        <w:rPr>
          <w:rFonts w:ascii="Arial" w:eastAsiaTheme="minorHAnsi" w:hAnsi="Arial" w:cs="Arial"/>
          <w:sz w:val="22"/>
          <w:szCs w:val="22"/>
          <w:lang w:eastAsia="en-US"/>
        </w:rPr>
        <w:t> </w:t>
      </w:r>
      <w:r w:rsidR="006F0CEE" w:rsidRPr="006F0CEE">
        <w:rPr>
          <w:rFonts w:ascii="Arial" w:eastAsiaTheme="minorHAnsi" w:hAnsi="Arial" w:cs="Arial"/>
          <w:sz w:val="22"/>
          <w:szCs w:val="22"/>
          <w:lang w:eastAsia="en-US"/>
        </w:rPr>
        <w:t>eliminuje duplicita při zadávání dat.</w:t>
      </w:r>
    </w:p>
    <w:p w14:paraId="3E2BFD1E" w14:textId="77777777" w:rsidR="0024493F" w:rsidRDefault="0024493F" w:rsidP="0024493F">
      <w:pPr>
        <w:spacing w:line="264" w:lineRule="auto"/>
        <w:jc w:val="both"/>
        <w:rPr>
          <w:rFonts w:ascii="Arial" w:eastAsiaTheme="minorHAnsi" w:hAnsi="Arial" w:cs="Arial"/>
          <w:sz w:val="22"/>
          <w:szCs w:val="22"/>
          <w:lang w:eastAsia="en-US"/>
        </w:rPr>
      </w:pPr>
    </w:p>
    <w:p w14:paraId="5B51F8D4" w14:textId="6A92D989" w:rsidR="00E12009" w:rsidRDefault="0024493F" w:rsidP="0024493F">
      <w:pPr>
        <w:spacing w:line="264" w:lineRule="auto"/>
        <w:jc w:val="both"/>
        <w:rPr>
          <w:rFonts w:ascii="Arial" w:eastAsiaTheme="minorHAnsi" w:hAnsi="Arial" w:cs="Arial"/>
          <w:sz w:val="22"/>
          <w:szCs w:val="22"/>
          <w:lang w:eastAsia="en-US"/>
        </w:rPr>
      </w:pPr>
      <w:r w:rsidRPr="0024493F">
        <w:rPr>
          <w:rFonts w:ascii="Arial" w:eastAsiaTheme="minorHAnsi" w:hAnsi="Arial" w:cs="Arial"/>
          <w:sz w:val="22"/>
          <w:szCs w:val="22"/>
          <w:lang w:eastAsia="en-US"/>
        </w:rPr>
        <w:t>Proběhla také příprava analýz a konzultace s Digitální informační agenturou (DIA), které tvoří základ pro realizaci napojení na základní registry v následujícím období. Tyto kroky potvrzují, že oblast konsolidace dat není opomenuta, ale její dokončení je podmíněno legislativními a</w:t>
      </w:r>
      <w:r w:rsidR="00BD6332">
        <w:rPr>
          <w:rFonts w:ascii="Arial" w:eastAsiaTheme="minorHAnsi" w:hAnsi="Arial" w:cs="Arial"/>
          <w:sz w:val="22"/>
          <w:szCs w:val="22"/>
          <w:lang w:eastAsia="en-US"/>
        </w:rPr>
        <w:t> </w:t>
      </w:r>
      <w:r w:rsidRPr="0024493F">
        <w:rPr>
          <w:rFonts w:ascii="Arial" w:eastAsiaTheme="minorHAnsi" w:hAnsi="Arial" w:cs="Arial"/>
          <w:sz w:val="22"/>
          <w:szCs w:val="22"/>
          <w:lang w:eastAsia="en-US"/>
        </w:rPr>
        <w:t>technickými faktory mimo přímou kontrolu správce</w:t>
      </w:r>
      <w:r w:rsidR="00CB4648">
        <w:rPr>
          <w:rFonts w:ascii="Arial" w:eastAsiaTheme="minorHAnsi" w:hAnsi="Arial" w:cs="Arial"/>
          <w:sz w:val="22"/>
          <w:szCs w:val="22"/>
          <w:lang w:eastAsia="en-US"/>
        </w:rPr>
        <w:t xml:space="preserve"> a provozovatele</w:t>
      </w:r>
      <w:r w:rsidRPr="0024493F">
        <w:rPr>
          <w:rFonts w:ascii="Arial" w:eastAsiaTheme="minorHAnsi" w:hAnsi="Arial" w:cs="Arial"/>
          <w:sz w:val="22"/>
          <w:szCs w:val="22"/>
          <w:lang w:eastAsia="en-US"/>
        </w:rPr>
        <w:t xml:space="preserve"> IS VaVaI.</w:t>
      </w:r>
    </w:p>
    <w:p w14:paraId="1068A661" w14:textId="77777777" w:rsidR="0024493F" w:rsidRDefault="0024493F" w:rsidP="00E12009">
      <w:pPr>
        <w:spacing w:line="264" w:lineRule="auto"/>
        <w:jc w:val="both"/>
        <w:rPr>
          <w:rFonts w:ascii="Arial" w:eastAsiaTheme="minorHAnsi" w:hAnsi="Arial" w:cs="Arial"/>
          <w:b/>
          <w:bCs/>
          <w:color w:val="4F81BD" w:themeColor="accent1"/>
          <w:sz w:val="22"/>
          <w:szCs w:val="22"/>
          <w:lang w:eastAsia="en-US"/>
        </w:rPr>
      </w:pPr>
    </w:p>
    <w:p w14:paraId="6C0A326B" w14:textId="35002A74" w:rsidR="00E12009" w:rsidRPr="009340C5" w:rsidRDefault="00453DFB" w:rsidP="00E12009">
      <w:pPr>
        <w:spacing w:line="264" w:lineRule="auto"/>
        <w:jc w:val="both"/>
        <w:rPr>
          <w:rFonts w:ascii="Arial" w:eastAsiaTheme="minorHAnsi" w:hAnsi="Arial" w:cs="Arial"/>
          <w:b/>
          <w:bCs/>
          <w:color w:val="4F81BD" w:themeColor="accent1"/>
          <w:lang w:eastAsia="en-US"/>
        </w:rPr>
      </w:pPr>
      <w:r>
        <w:rPr>
          <w:rFonts w:ascii="Arial" w:eastAsiaTheme="minorHAnsi" w:hAnsi="Arial" w:cs="Arial"/>
          <w:b/>
          <w:bCs/>
          <w:color w:val="4F81BD" w:themeColor="accent1"/>
          <w:lang w:eastAsia="en-US"/>
        </w:rPr>
        <w:t>4</w:t>
      </w:r>
      <w:r w:rsidR="00E12009" w:rsidRPr="009340C5">
        <w:rPr>
          <w:rFonts w:ascii="Arial" w:eastAsiaTheme="minorHAnsi" w:hAnsi="Arial" w:cs="Arial"/>
          <w:b/>
          <w:bCs/>
          <w:color w:val="4F81BD" w:themeColor="accent1"/>
          <w:lang w:eastAsia="en-US"/>
        </w:rPr>
        <w:t>. Celkové zhodnocení a závěr</w:t>
      </w:r>
    </w:p>
    <w:p w14:paraId="5CE58EB8" w14:textId="77777777" w:rsidR="00E12009" w:rsidRDefault="00E12009" w:rsidP="00E12009">
      <w:pPr>
        <w:spacing w:line="264" w:lineRule="auto"/>
        <w:jc w:val="both"/>
        <w:rPr>
          <w:rFonts w:ascii="Arial" w:eastAsiaTheme="minorHAnsi" w:hAnsi="Arial" w:cs="Arial"/>
          <w:sz w:val="22"/>
          <w:szCs w:val="22"/>
          <w:lang w:eastAsia="en-US"/>
        </w:rPr>
      </w:pPr>
    </w:p>
    <w:p w14:paraId="5E3D328C" w14:textId="26406A0C" w:rsidR="00E12009" w:rsidRPr="00E12009" w:rsidRDefault="00E12009" w:rsidP="00E12009">
      <w:pPr>
        <w:spacing w:line="264" w:lineRule="auto"/>
        <w:jc w:val="both"/>
        <w:rPr>
          <w:rFonts w:ascii="Arial" w:eastAsiaTheme="minorHAnsi" w:hAnsi="Arial" w:cs="Arial"/>
          <w:sz w:val="22"/>
          <w:szCs w:val="22"/>
          <w:lang w:eastAsia="en-US"/>
        </w:rPr>
      </w:pPr>
      <w:r w:rsidRPr="00E12009">
        <w:rPr>
          <w:rFonts w:ascii="Arial" w:eastAsiaTheme="minorHAnsi" w:hAnsi="Arial" w:cs="Arial"/>
          <w:sz w:val="22"/>
          <w:szCs w:val="22"/>
          <w:lang w:eastAsia="en-US"/>
        </w:rPr>
        <w:t xml:space="preserve">Na základě vyhodnocení strategických oblastí lze konstatovat, že Koncepce IS VaVaI 2021–2025 byla naplněna ve vysoké míře, přičemž většina stanovených opatření byla splněna nebo alespoň částečně realizována způsobem, který zachoval jejich hlavní přínos. </w:t>
      </w:r>
      <w:r w:rsidR="005F6F7C" w:rsidRPr="005F6F7C">
        <w:rPr>
          <w:rFonts w:ascii="Arial" w:eastAsiaTheme="minorHAnsi" w:hAnsi="Arial" w:cs="Arial"/>
          <w:sz w:val="22"/>
          <w:szCs w:val="22"/>
          <w:lang w:eastAsia="en-US"/>
        </w:rPr>
        <w:t>IS VaVaI se v hodnoceném období stabilizoval jako centrální referenční zdroj dat pro oblast VaVaI napříč státní správou.</w:t>
      </w:r>
      <w:r w:rsidR="005F6F7C">
        <w:rPr>
          <w:rFonts w:ascii="Arial" w:eastAsiaTheme="minorHAnsi" w:hAnsi="Arial" w:cs="Arial"/>
          <w:sz w:val="22"/>
          <w:szCs w:val="22"/>
          <w:lang w:eastAsia="en-US"/>
        </w:rPr>
        <w:t xml:space="preserve"> </w:t>
      </w:r>
      <w:r w:rsidRPr="00E12009">
        <w:rPr>
          <w:rFonts w:ascii="Arial" w:eastAsiaTheme="minorHAnsi" w:hAnsi="Arial" w:cs="Arial"/>
          <w:sz w:val="22"/>
          <w:szCs w:val="22"/>
          <w:lang w:eastAsia="en-US"/>
        </w:rPr>
        <w:t>Celková míra naplnění cílů koncepce potvrzuje, že IS VaVaI je rozvíjen strategicky, odpovědně a</w:t>
      </w:r>
      <w:r w:rsidR="00AF3A52">
        <w:rPr>
          <w:rFonts w:ascii="Arial" w:eastAsiaTheme="minorHAnsi" w:hAnsi="Arial" w:cs="Arial"/>
          <w:sz w:val="22"/>
          <w:szCs w:val="22"/>
          <w:lang w:eastAsia="en-US"/>
        </w:rPr>
        <w:t> </w:t>
      </w:r>
      <w:r w:rsidRPr="00E12009">
        <w:rPr>
          <w:rFonts w:ascii="Arial" w:eastAsiaTheme="minorHAnsi" w:hAnsi="Arial" w:cs="Arial"/>
          <w:sz w:val="22"/>
          <w:szCs w:val="22"/>
          <w:lang w:eastAsia="en-US"/>
        </w:rPr>
        <w:t>v</w:t>
      </w:r>
      <w:r w:rsidR="00AF3A52">
        <w:rPr>
          <w:rFonts w:ascii="Arial" w:eastAsiaTheme="minorHAnsi" w:hAnsi="Arial" w:cs="Arial"/>
          <w:sz w:val="22"/>
          <w:szCs w:val="22"/>
          <w:lang w:eastAsia="en-US"/>
        </w:rPr>
        <w:t> </w:t>
      </w:r>
      <w:r w:rsidRPr="00E12009">
        <w:rPr>
          <w:rFonts w:ascii="Arial" w:eastAsiaTheme="minorHAnsi" w:hAnsi="Arial" w:cs="Arial"/>
          <w:sz w:val="22"/>
          <w:szCs w:val="22"/>
          <w:lang w:eastAsia="en-US"/>
        </w:rPr>
        <w:t>souladu s principy dobré správy.</w:t>
      </w:r>
      <w:r w:rsidR="005F6F7C">
        <w:rPr>
          <w:rFonts w:ascii="Arial" w:eastAsiaTheme="minorHAnsi" w:hAnsi="Arial" w:cs="Arial"/>
          <w:sz w:val="22"/>
          <w:szCs w:val="22"/>
          <w:lang w:eastAsia="en-US"/>
        </w:rPr>
        <w:t xml:space="preserve"> </w:t>
      </w:r>
    </w:p>
    <w:p w14:paraId="56833324" w14:textId="77777777" w:rsidR="00E12009" w:rsidRDefault="00E12009" w:rsidP="00E12009">
      <w:pPr>
        <w:spacing w:line="264" w:lineRule="auto"/>
        <w:jc w:val="both"/>
        <w:rPr>
          <w:rFonts w:ascii="Arial" w:eastAsiaTheme="minorHAnsi" w:hAnsi="Arial" w:cs="Arial"/>
          <w:sz w:val="22"/>
          <w:szCs w:val="22"/>
          <w:lang w:eastAsia="en-US"/>
        </w:rPr>
      </w:pPr>
    </w:p>
    <w:p w14:paraId="7C699D25" w14:textId="4C1B09C9" w:rsidR="00E12009" w:rsidRDefault="00D7279E" w:rsidP="00E12009">
      <w:pPr>
        <w:spacing w:line="264" w:lineRule="auto"/>
        <w:jc w:val="both"/>
        <w:rPr>
          <w:rFonts w:ascii="Arial" w:eastAsiaTheme="minorHAnsi" w:hAnsi="Arial" w:cs="Arial"/>
          <w:sz w:val="22"/>
          <w:szCs w:val="22"/>
          <w:lang w:eastAsia="en-US"/>
        </w:rPr>
      </w:pPr>
      <w:r w:rsidRPr="00D7279E">
        <w:rPr>
          <w:rFonts w:ascii="Arial" w:eastAsiaTheme="minorHAnsi" w:hAnsi="Arial" w:cs="Arial"/>
          <w:sz w:val="22"/>
          <w:szCs w:val="22"/>
          <w:lang w:eastAsia="en-US"/>
        </w:rPr>
        <w:t>Zjištěné oblasti pro zlepšení neohrožují funkčnost systému, ale odrážejí limity vyplývající z</w:t>
      </w:r>
      <w:r w:rsidR="003B3110">
        <w:rPr>
          <w:rFonts w:ascii="Arial" w:eastAsiaTheme="minorHAnsi" w:hAnsi="Arial" w:cs="Arial"/>
          <w:sz w:val="22"/>
          <w:szCs w:val="22"/>
          <w:lang w:eastAsia="en-US"/>
        </w:rPr>
        <w:t> </w:t>
      </w:r>
      <w:r w:rsidRPr="00D7279E">
        <w:rPr>
          <w:rFonts w:ascii="Arial" w:eastAsiaTheme="minorHAnsi" w:hAnsi="Arial" w:cs="Arial"/>
          <w:sz w:val="22"/>
          <w:szCs w:val="22"/>
          <w:lang w:eastAsia="en-US"/>
        </w:rPr>
        <w:t>kapacitních a legislativních podmínek. Tyto poznatky zároveň poskytují cenný základ pro plánování dalšího strategického období.</w:t>
      </w:r>
    </w:p>
    <w:p w14:paraId="444CBF7E" w14:textId="77777777" w:rsidR="00D7279E" w:rsidRDefault="00D7279E" w:rsidP="00E12009">
      <w:pPr>
        <w:spacing w:line="264" w:lineRule="auto"/>
        <w:jc w:val="both"/>
        <w:rPr>
          <w:rFonts w:ascii="Arial" w:eastAsiaTheme="minorHAnsi" w:hAnsi="Arial" w:cs="Arial"/>
          <w:sz w:val="22"/>
          <w:szCs w:val="22"/>
          <w:lang w:eastAsia="en-US"/>
        </w:rPr>
      </w:pPr>
    </w:p>
    <w:p w14:paraId="78D6C88E" w14:textId="16F51FCA" w:rsidR="00E12009" w:rsidRPr="00E12009" w:rsidRDefault="00E12009" w:rsidP="00E12009">
      <w:pPr>
        <w:spacing w:line="264" w:lineRule="auto"/>
        <w:jc w:val="both"/>
        <w:rPr>
          <w:rFonts w:ascii="Arial" w:eastAsiaTheme="minorHAnsi" w:hAnsi="Arial" w:cs="Arial"/>
          <w:sz w:val="22"/>
          <w:szCs w:val="22"/>
          <w:lang w:eastAsia="en-US"/>
        </w:rPr>
      </w:pPr>
      <w:r w:rsidRPr="00E12009">
        <w:rPr>
          <w:rFonts w:ascii="Arial" w:eastAsiaTheme="minorHAnsi" w:hAnsi="Arial" w:cs="Arial"/>
          <w:sz w:val="22"/>
          <w:szCs w:val="22"/>
          <w:lang w:eastAsia="en-US"/>
        </w:rPr>
        <w:t xml:space="preserve">Z pohledu státní správy lze Koncepci IS VaVaI 2021–2025 hodnotit jako </w:t>
      </w:r>
      <w:r w:rsidRPr="00BE03ED">
        <w:rPr>
          <w:rFonts w:ascii="Arial" w:eastAsiaTheme="minorHAnsi" w:hAnsi="Arial" w:cs="Arial"/>
          <w:b/>
          <w:bCs/>
          <w:sz w:val="22"/>
          <w:szCs w:val="22"/>
          <w:lang w:eastAsia="en-US"/>
        </w:rPr>
        <w:t>úspěšnou, s</w:t>
      </w:r>
      <w:r w:rsidR="00AF3A52" w:rsidRPr="00BE03ED">
        <w:rPr>
          <w:rFonts w:ascii="Arial" w:eastAsiaTheme="minorHAnsi" w:hAnsi="Arial" w:cs="Arial"/>
          <w:b/>
          <w:bCs/>
          <w:sz w:val="22"/>
          <w:szCs w:val="22"/>
          <w:lang w:eastAsia="en-US"/>
        </w:rPr>
        <w:t> </w:t>
      </w:r>
      <w:r w:rsidRPr="00BE03ED">
        <w:rPr>
          <w:rFonts w:ascii="Arial" w:eastAsiaTheme="minorHAnsi" w:hAnsi="Arial" w:cs="Arial"/>
          <w:b/>
          <w:bCs/>
          <w:sz w:val="22"/>
          <w:szCs w:val="22"/>
          <w:lang w:eastAsia="en-US"/>
        </w:rPr>
        <w:t>významným pozitivním dopadem na kvalitu dat, transparentnost systému a podporu rozhodovacích procesů v oblasti výzkumu, vývoje a inovací</w:t>
      </w:r>
      <w:r w:rsidRPr="00E12009">
        <w:rPr>
          <w:rFonts w:ascii="Arial" w:eastAsiaTheme="minorHAnsi" w:hAnsi="Arial" w:cs="Arial"/>
          <w:sz w:val="22"/>
          <w:szCs w:val="22"/>
          <w:lang w:eastAsia="en-US"/>
        </w:rPr>
        <w:t>.</w:t>
      </w:r>
      <w:r w:rsidR="005F6F7C">
        <w:rPr>
          <w:rFonts w:ascii="Arial" w:eastAsiaTheme="minorHAnsi" w:hAnsi="Arial" w:cs="Arial"/>
          <w:sz w:val="22"/>
          <w:szCs w:val="22"/>
          <w:lang w:eastAsia="en-US"/>
        </w:rPr>
        <w:t xml:space="preserve"> </w:t>
      </w:r>
      <w:r w:rsidR="005F6F7C" w:rsidRPr="005F6F7C">
        <w:rPr>
          <w:rFonts w:ascii="Arial" w:eastAsiaTheme="minorHAnsi" w:hAnsi="Arial" w:cs="Arial"/>
          <w:b/>
          <w:bCs/>
          <w:sz w:val="22"/>
          <w:szCs w:val="22"/>
          <w:lang w:eastAsia="en-US"/>
        </w:rPr>
        <w:t>Dosažené výsledky vytvářejí strukturální předpoklady pro další integraci do ekosystému digitálního státu.</w:t>
      </w:r>
    </w:p>
    <w:p w14:paraId="79DB4353" w14:textId="77777777" w:rsidR="00E12009" w:rsidRDefault="00E12009" w:rsidP="00E12009">
      <w:pPr>
        <w:spacing w:line="264" w:lineRule="auto"/>
        <w:jc w:val="both"/>
        <w:rPr>
          <w:rFonts w:ascii="Arial" w:eastAsiaTheme="minorHAnsi" w:hAnsi="Arial" w:cs="Arial"/>
          <w:sz w:val="22"/>
          <w:szCs w:val="22"/>
          <w:lang w:eastAsia="en-US"/>
        </w:rPr>
      </w:pPr>
    </w:p>
    <w:p w14:paraId="43C84BCE" w14:textId="77777777" w:rsidR="003E54AB" w:rsidRPr="00E12009" w:rsidRDefault="003E54AB" w:rsidP="00E12009">
      <w:pPr>
        <w:spacing w:line="264" w:lineRule="auto"/>
        <w:jc w:val="both"/>
        <w:rPr>
          <w:rFonts w:ascii="Arial" w:eastAsiaTheme="minorHAnsi" w:hAnsi="Arial" w:cs="Arial"/>
          <w:sz w:val="22"/>
          <w:szCs w:val="22"/>
          <w:lang w:eastAsia="en-US"/>
        </w:rPr>
      </w:pPr>
    </w:p>
    <w:p w14:paraId="6CA375EB" w14:textId="0B6BF4A2" w:rsidR="00E12009" w:rsidRPr="00E12009" w:rsidRDefault="00E12009" w:rsidP="00E12009">
      <w:pPr>
        <w:spacing w:line="264" w:lineRule="auto"/>
        <w:jc w:val="both"/>
        <w:rPr>
          <w:rFonts w:ascii="Arial" w:eastAsiaTheme="minorHAnsi" w:hAnsi="Arial" w:cs="Arial"/>
          <w:sz w:val="22"/>
          <w:szCs w:val="22"/>
          <w:lang w:eastAsia="en-US"/>
        </w:rPr>
      </w:pPr>
    </w:p>
    <w:sectPr w:rsidR="00E12009" w:rsidRPr="00E12009" w:rsidSect="009758E5">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AC01F" w14:textId="77777777" w:rsidR="00856CF7" w:rsidRDefault="00856CF7" w:rsidP="008F77F6">
      <w:r>
        <w:separator/>
      </w:r>
    </w:p>
  </w:endnote>
  <w:endnote w:type="continuationSeparator" w:id="0">
    <w:p w14:paraId="6414537B" w14:textId="77777777" w:rsidR="00856CF7" w:rsidRDefault="00856CF7" w:rsidP="008F7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utura CE">
    <w:altName w:val="Arial"/>
    <w:panose1 w:val="00000000000000000000"/>
    <w:charset w:val="EE"/>
    <w:family w:val="swiss"/>
    <w:notTrueType/>
    <w:pitch w:val="default"/>
    <w:sig w:usb0="00000001" w:usb1="00000000" w:usb2="00000000" w:usb3="00000000" w:csb0="00000003"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F84B7" w14:textId="1313080C" w:rsidR="00E254A5" w:rsidRDefault="00B120CD" w:rsidP="00E254A5">
    <w:pPr>
      <w:pStyle w:val="Zpat"/>
      <w:rPr>
        <w:rFonts w:ascii="Arial" w:hAnsi="Arial" w:cs="Arial"/>
        <w:sz w:val="18"/>
        <w:szCs w:val="18"/>
      </w:rPr>
    </w:pPr>
    <w:r>
      <w:rPr>
        <w:rFonts w:ascii="Arial" w:hAnsi="Arial" w:cs="Arial"/>
        <w:sz w:val="18"/>
        <w:szCs w:val="18"/>
      </w:rPr>
      <w:tab/>
    </w:r>
    <w:sdt>
      <w:sdtPr>
        <w:rPr>
          <w:rFonts w:ascii="Arial" w:hAnsi="Arial" w:cs="Arial"/>
          <w:sz w:val="18"/>
          <w:szCs w:val="18"/>
        </w:rPr>
        <w:id w:val="1547331835"/>
        <w:docPartObj>
          <w:docPartGallery w:val="Page Numbers (Bottom of Page)"/>
          <w:docPartUnique/>
        </w:docPartObj>
      </w:sdtPr>
      <w:sdtEndPr/>
      <w:sdtContent/>
    </w:sdt>
  </w:p>
  <w:sdt>
    <w:sdtPr>
      <w:rPr>
        <w:rFonts w:ascii="Arial" w:hAnsi="Arial" w:cs="Arial"/>
        <w:sz w:val="18"/>
        <w:szCs w:val="18"/>
      </w:rPr>
      <w:id w:val="1122730018"/>
      <w:docPartObj>
        <w:docPartGallery w:val="Page Numbers (Bottom of Page)"/>
        <w:docPartUnique/>
      </w:docPartObj>
    </w:sdtPr>
    <w:sdtEndPr/>
    <w:sdtContent>
      <w:sdt>
        <w:sdtPr>
          <w:rPr>
            <w:rFonts w:ascii="Arial" w:hAnsi="Arial" w:cs="Arial"/>
          </w:rPr>
          <w:id w:val="3491130"/>
          <w:docPartObj>
            <w:docPartGallery w:val="Page Numbers (Top of Page)"/>
            <w:docPartUnique/>
          </w:docPartObj>
        </w:sdtPr>
        <w:sdtEndPr/>
        <w:sdtContent>
          <w:p w14:paraId="3C12E5C6" w14:textId="004FCD67" w:rsidR="00B120CD" w:rsidRPr="00E254A5" w:rsidRDefault="00E254A5" w:rsidP="00E254A5">
            <w:pPr>
              <w:pStyle w:val="Zpat"/>
              <w:rPr>
                <w:rFonts w:ascii="Arial" w:hAnsi="Arial" w:cs="Arial"/>
              </w:rPr>
            </w:pPr>
            <w:r w:rsidRPr="00B13622">
              <w:rPr>
                <w:rFonts w:ascii="Arial" w:hAnsi="Arial" w:cs="Arial"/>
                <w:noProof/>
                <w:color w:val="002060"/>
              </w:rPr>
              <mc:AlternateContent>
                <mc:Choice Requires="wps">
                  <w:drawing>
                    <wp:anchor distT="0" distB="0" distL="114300" distR="114300" simplePos="0" relativeHeight="251650560" behindDoc="0" locked="0" layoutInCell="1" allowOverlap="1" wp14:anchorId="309193E4" wp14:editId="284B696F">
                      <wp:simplePos x="0" y="0"/>
                      <wp:positionH relativeFrom="margin">
                        <wp:posOffset>0</wp:posOffset>
                      </wp:positionH>
                      <wp:positionV relativeFrom="paragraph">
                        <wp:posOffset>-87366</wp:posOffset>
                      </wp:positionV>
                      <wp:extent cx="6120130" cy="0"/>
                      <wp:effectExtent l="0" t="0" r="0" b="0"/>
                      <wp:wrapNone/>
                      <wp:docPr id="1150259382" name="Přímá spojnice 2"/>
                      <wp:cNvGraphicFramePr/>
                      <a:graphic xmlns:a="http://schemas.openxmlformats.org/drawingml/2006/main">
                        <a:graphicData uri="http://schemas.microsoft.com/office/word/2010/wordprocessingShape">
                          <wps:wsp>
                            <wps:cNvCnPr/>
                            <wps:spPr>
                              <a:xfrm flipV="1">
                                <a:off x="0" y="0"/>
                                <a:ext cx="6120130" cy="0"/>
                              </a:xfrm>
                              <a:prstGeom prst="line">
                                <a:avLst/>
                              </a:prstGeom>
                              <a:ln>
                                <a:solidFill>
                                  <a:srgbClr val="161A4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9638A6" id="Přímá spojnice 2" o:spid="_x0000_s1026" style="position:absolute;flip:y;z-index:251650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6.9pt" to="481.9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" strokecolor="#161a48">
                      <w10:wrap anchorx="margin"/>
                    </v:line>
                  </w:pict>
                </mc:Fallback>
              </mc:AlternateContent>
            </w:r>
            <w:r w:rsidRPr="00B13622">
              <w:rPr>
                <w:rFonts w:ascii="Arial" w:hAnsi="Arial" w:cs="Arial"/>
              </w:rPr>
              <w:t xml:space="preserve"> </w:t>
            </w:r>
            <w:sdt>
              <w:sdtPr>
                <w:rPr>
                  <w:rFonts w:ascii="Arial" w:hAnsi="Arial" w:cs="Arial"/>
                </w:rPr>
                <w:id w:val="595523763"/>
                <w:docPartObj>
                  <w:docPartGallery w:val="Page Numbers (Top of Page)"/>
                  <w:docPartUnique/>
                </w:docPartObj>
              </w:sdtPr>
              <w:sdtEndPr/>
              <w:sdtContent>
                <w:r w:rsidRPr="00B13622">
                  <w:rPr>
                    <w:rFonts w:ascii="Arial" w:hAnsi="Arial" w:cs="Arial"/>
                    <w:noProof/>
                    <w:color w:val="002060"/>
                    <w:sz w:val="16"/>
                    <w:szCs w:val="16"/>
                  </w:rPr>
                  <mc:AlternateContent>
                    <mc:Choice Requires="wps">
                      <w:drawing>
                        <wp:anchor distT="0" distB="0" distL="114300" distR="114300" simplePos="0" relativeHeight="251651584" behindDoc="0" locked="0" layoutInCell="1" allowOverlap="1" wp14:anchorId="3F55A8E8" wp14:editId="701890D4">
                          <wp:simplePos x="0" y="0"/>
                          <wp:positionH relativeFrom="margin">
                            <wp:posOffset>0</wp:posOffset>
                          </wp:positionH>
                          <wp:positionV relativeFrom="paragraph">
                            <wp:posOffset>-87366</wp:posOffset>
                          </wp:positionV>
                          <wp:extent cx="6120130" cy="0"/>
                          <wp:effectExtent l="0" t="0" r="0" b="0"/>
                          <wp:wrapNone/>
                          <wp:docPr id="916824440" name="Přímá spojnice 2"/>
                          <wp:cNvGraphicFramePr/>
                          <a:graphic xmlns:a="http://schemas.openxmlformats.org/drawingml/2006/main">
                            <a:graphicData uri="http://schemas.microsoft.com/office/word/2010/wordprocessingShape">
                              <wps:wsp>
                                <wps:cNvCnPr/>
                                <wps:spPr>
                                  <a:xfrm flipV="1">
                                    <a:off x="0" y="0"/>
                                    <a:ext cx="6120130" cy="0"/>
                                  </a:xfrm>
                                  <a:prstGeom prst="line">
                                    <a:avLst/>
                                  </a:prstGeom>
                                  <a:ln>
                                    <a:solidFill>
                                      <a:srgbClr val="161A4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49C2F8" id="Přímá spojnice 2" o:spid="_x0000_s1026" style="position:absolute;flip:y;z-index:251651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6.9pt" to="481.9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" strokecolor="#161a48">
                          <w10:wrap anchorx="margin"/>
                        </v:line>
                      </w:pict>
                    </mc:Fallback>
                  </mc:AlternateContent>
                </w:r>
                <w:r w:rsidR="00FE050F" w:rsidRPr="00B13622">
                  <w:rPr>
                    <w:rFonts w:ascii="Arial" w:hAnsi="Arial" w:cs="Arial"/>
                    <w:noProof/>
                    <w:color w:val="002060"/>
                    <w:sz w:val="16"/>
                    <w:szCs w:val="16"/>
                  </w:rPr>
                  <mc:AlternateContent>
                    <mc:Choice Requires="wps">
                      <w:drawing>
                        <wp:anchor distT="0" distB="0" distL="114300" distR="114300" simplePos="0" relativeHeight="251655680" behindDoc="0" locked="0" layoutInCell="1" allowOverlap="1" wp14:anchorId="20B2FBFD" wp14:editId="1293416B">
                          <wp:simplePos x="0" y="0"/>
                          <wp:positionH relativeFrom="margin">
                            <wp:posOffset>0</wp:posOffset>
                          </wp:positionH>
                          <wp:positionV relativeFrom="paragraph">
                            <wp:posOffset>-87366</wp:posOffset>
                          </wp:positionV>
                          <wp:extent cx="6120130" cy="0"/>
                          <wp:effectExtent l="0" t="0" r="0" b="0"/>
                          <wp:wrapNone/>
                          <wp:docPr id="2129498573" name="Přímá spojnice 2"/>
                          <wp:cNvGraphicFramePr/>
                          <a:graphic xmlns:a="http://schemas.openxmlformats.org/drawingml/2006/main">
                            <a:graphicData uri="http://schemas.microsoft.com/office/word/2010/wordprocessingShape">
                              <wps:wsp>
                                <wps:cNvCnPr/>
                                <wps:spPr>
                                  <a:xfrm flipV="1">
                                    <a:off x="0" y="0"/>
                                    <a:ext cx="6120130" cy="0"/>
                                  </a:xfrm>
                                  <a:prstGeom prst="line">
                                    <a:avLst/>
                                  </a:prstGeom>
                                  <a:ln>
                                    <a:solidFill>
                                      <a:srgbClr val="161A4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5EB1A1" id="Přímá spojnice 2" o:spid="_x0000_s1026" style="position:absolute;flip:y;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6.9pt" to="481.9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" strokecolor="#161a48">
                          <w10:wrap anchorx="margin"/>
                        </v:line>
                      </w:pict>
                    </mc:Fallback>
                  </mc:AlternateContent>
                </w:r>
                <w:r w:rsidR="00FE050F" w:rsidRPr="00B13622">
                  <w:rPr>
                    <w:rFonts w:ascii="Arial" w:hAnsi="Arial" w:cs="Arial"/>
                    <w:noProof/>
                    <w:color w:val="002060"/>
                    <w:sz w:val="16"/>
                    <w:szCs w:val="16"/>
                  </w:rPr>
                  <mc:AlternateContent>
                    <mc:Choice Requires="wps">
                      <w:drawing>
                        <wp:anchor distT="0" distB="0" distL="114300" distR="114300" simplePos="0" relativeHeight="251657728" behindDoc="0" locked="0" layoutInCell="1" allowOverlap="1" wp14:anchorId="17B94013" wp14:editId="079F93E2">
                          <wp:simplePos x="0" y="0"/>
                          <wp:positionH relativeFrom="margin">
                            <wp:posOffset>0</wp:posOffset>
                          </wp:positionH>
                          <wp:positionV relativeFrom="paragraph">
                            <wp:posOffset>-87366</wp:posOffset>
                          </wp:positionV>
                          <wp:extent cx="6120130" cy="0"/>
                          <wp:effectExtent l="0" t="0" r="0" b="0"/>
                          <wp:wrapNone/>
                          <wp:docPr id="134079334" name="Přímá spojnice 2"/>
                          <wp:cNvGraphicFramePr/>
                          <a:graphic xmlns:a="http://schemas.openxmlformats.org/drawingml/2006/main">
                            <a:graphicData uri="http://schemas.microsoft.com/office/word/2010/wordprocessingShape">
                              <wps:wsp>
                                <wps:cNvCnPr/>
                                <wps:spPr>
                                  <a:xfrm flipV="1">
                                    <a:off x="0" y="0"/>
                                    <a:ext cx="6120130" cy="0"/>
                                  </a:xfrm>
                                  <a:prstGeom prst="line">
                                    <a:avLst/>
                                  </a:prstGeom>
                                  <a:ln>
                                    <a:solidFill>
                                      <a:srgbClr val="161A4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BC3FFB" id="Přímá spojnice 2" o:spid="_x0000_s1026" style="position:absolute;flip:y;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6.9pt" to="481.9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" strokecolor="#161a48">
                          <w10:wrap anchorx="margin"/>
                        </v:line>
                      </w:pict>
                    </mc:Fallback>
                  </mc:AlternateContent>
                </w:r>
                <w:r w:rsidR="00FE050F" w:rsidRPr="00B13622">
                  <w:rPr>
                    <w:rFonts w:ascii="Arial" w:hAnsi="Arial" w:cs="Arial"/>
                    <w:noProof/>
                    <w:color w:val="002060"/>
                    <w:sz w:val="16"/>
                    <w:szCs w:val="16"/>
                  </w:rPr>
                  <mc:AlternateContent>
                    <mc:Choice Requires="wps">
                      <w:drawing>
                        <wp:anchor distT="0" distB="0" distL="114300" distR="114300" simplePos="0" relativeHeight="251658752" behindDoc="0" locked="0" layoutInCell="1" allowOverlap="1" wp14:anchorId="65CEB94B" wp14:editId="0FF8F1FD">
                          <wp:simplePos x="0" y="0"/>
                          <wp:positionH relativeFrom="margin">
                            <wp:posOffset>0</wp:posOffset>
                          </wp:positionH>
                          <wp:positionV relativeFrom="paragraph">
                            <wp:posOffset>-87366</wp:posOffset>
                          </wp:positionV>
                          <wp:extent cx="6120130" cy="0"/>
                          <wp:effectExtent l="0" t="0" r="0" b="0"/>
                          <wp:wrapNone/>
                          <wp:docPr id="782388664" name="Přímá spojnice 2"/>
                          <wp:cNvGraphicFramePr/>
                          <a:graphic xmlns:a="http://schemas.openxmlformats.org/drawingml/2006/main">
                            <a:graphicData uri="http://schemas.microsoft.com/office/word/2010/wordprocessingShape">
                              <wps:wsp>
                                <wps:cNvCnPr/>
                                <wps:spPr>
                                  <a:xfrm flipV="1">
                                    <a:off x="0" y="0"/>
                                    <a:ext cx="6120130" cy="0"/>
                                  </a:xfrm>
                                  <a:prstGeom prst="line">
                                    <a:avLst/>
                                  </a:prstGeom>
                                  <a:ln>
                                    <a:solidFill>
                                      <a:srgbClr val="161A4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7231306" id="Přímá spojnice 2" o:spid="_x0000_s1026" style="position:absolute;flip:y;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6.9pt" to="481.9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" strokecolor="#161a48">
                          <w10:wrap anchorx="margin"/>
                        </v:line>
                      </w:pict>
                    </mc:Fallback>
                  </mc:AlternateContent>
                </w:r>
                <w:r w:rsidR="00336A39" w:rsidRPr="00B13622">
                  <w:rPr>
                    <w:rFonts w:ascii="Arial" w:hAnsi="Arial" w:cs="Arial"/>
                    <w:noProof/>
                    <w:color w:val="002060"/>
                    <w:sz w:val="16"/>
                    <w:szCs w:val="16"/>
                  </w:rPr>
                  <mc:AlternateContent>
                    <mc:Choice Requires="wps">
                      <w:drawing>
                        <wp:anchor distT="0" distB="0" distL="114300" distR="114300" simplePos="0" relativeHeight="251660800" behindDoc="0" locked="0" layoutInCell="1" allowOverlap="1" wp14:anchorId="45D41BD5" wp14:editId="220C96B3">
                          <wp:simplePos x="0" y="0"/>
                          <wp:positionH relativeFrom="margin">
                            <wp:posOffset>0</wp:posOffset>
                          </wp:positionH>
                          <wp:positionV relativeFrom="paragraph">
                            <wp:posOffset>-87366</wp:posOffset>
                          </wp:positionV>
                          <wp:extent cx="6120130" cy="0"/>
                          <wp:effectExtent l="0" t="0" r="0" b="0"/>
                          <wp:wrapNone/>
                          <wp:docPr id="1631050841" name="Přímá spojnice 2"/>
                          <wp:cNvGraphicFramePr/>
                          <a:graphic xmlns:a="http://schemas.openxmlformats.org/drawingml/2006/main">
                            <a:graphicData uri="http://schemas.microsoft.com/office/word/2010/wordprocessingShape">
                              <wps:wsp>
                                <wps:cNvCnPr/>
                                <wps:spPr>
                                  <a:xfrm flipV="1">
                                    <a:off x="0" y="0"/>
                                    <a:ext cx="6120130" cy="0"/>
                                  </a:xfrm>
                                  <a:prstGeom prst="line">
                                    <a:avLst/>
                                  </a:prstGeom>
                                  <a:ln>
                                    <a:solidFill>
                                      <a:srgbClr val="161A4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128218" id="Přímá spojnice 2" o:spid="_x0000_s1026" style="position:absolute;flip:y;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6.9pt" to="481.9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" strokecolor="#161a48">
                          <w10:wrap anchorx="margin"/>
                        </v:line>
                      </w:pict>
                    </mc:Fallback>
                  </mc:AlternateContent>
                </w:r>
                <w:r w:rsidR="00336A39" w:rsidRPr="00B13622">
                  <w:rPr>
                    <w:rFonts w:ascii="Arial" w:hAnsi="Arial" w:cs="Arial"/>
                    <w:noProof/>
                    <w:color w:val="002060"/>
                    <w:sz w:val="16"/>
                    <w:szCs w:val="16"/>
                  </w:rPr>
                  <mc:AlternateContent>
                    <mc:Choice Requires="wps">
                      <w:drawing>
                        <wp:anchor distT="0" distB="0" distL="114300" distR="114300" simplePos="0" relativeHeight="251661824" behindDoc="0" locked="0" layoutInCell="1" allowOverlap="1" wp14:anchorId="30C6F1BD" wp14:editId="57FE24A5">
                          <wp:simplePos x="0" y="0"/>
                          <wp:positionH relativeFrom="margin">
                            <wp:posOffset>0</wp:posOffset>
                          </wp:positionH>
                          <wp:positionV relativeFrom="paragraph">
                            <wp:posOffset>-87366</wp:posOffset>
                          </wp:positionV>
                          <wp:extent cx="6120130" cy="0"/>
                          <wp:effectExtent l="0" t="0" r="0" b="0"/>
                          <wp:wrapNone/>
                          <wp:docPr id="213416526" name="Přímá spojnice 2"/>
                          <wp:cNvGraphicFramePr/>
                          <a:graphic xmlns:a="http://schemas.openxmlformats.org/drawingml/2006/main">
                            <a:graphicData uri="http://schemas.microsoft.com/office/word/2010/wordprocessingShape">
                              <wps:wsp>
                                <wps:cNvCnPr/>
                                <wps:spPr>
                                  <a:xfrm flipV="1">
                                    <a:off x="0" y="0"/>
                                    <a:ext cx="6120130" cy="0"/>
                                  </a:xfrm>
                                  <a:prstGeom prst="line">
                                    <a:avLst/>
                                  </a:prstGeom>
                                  <a:ln>
                                    <a:solidFill>
                                      <a:srgbClr val="161A4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E463F6" id="Přímá spojnice 2" o:spid="_x0000_s1026" style="position:absolute;flip:y;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6.9pt" to="481.9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" strokecolor="#161a48">
                          <w10:wrap anchorx="margin"/>
                        </v:line>
                      </w:pict>
                    </mc:Fallback>
                  </mc:AlternateContent>
                </w:r>
                <w:r w:rsidR="00336A39" w:rsidRPr="00B13622">
                  <w:rPr>
                    <w:rFonts w:ascii="Arial" w:hAnsi="Arial" w:cs="Arial"/>
                    <w:noProof/>
                    <w:color w:val="002060"/>
                    <w:sz w:val="16"/>
                    <w:szCs w:val="16"/>
                  </w:rPr>
                  <mc:AlternateContent>
                    <mc:Choice Requires="wps">
                      <w:drawing>
                        <wp:anchor distT="0" distB="0" distL="114300" distR="114300" simplePos="0" relativeHeight="251662848" behindDoc="0" locked="0" layoutInCell="1" allowOverlap="1" wp14:anchorId="1169AD6A" wp14:editId="4BD0C30E">
                          <wp:simplePos x="0" y="0"/>
                          <wp:positionH relativeFrom="margin">
                            <wp:posOffset>0</wp:posOffset>
                          </wp:positionH>
                          <wp:positionV relativeFrom="paragraph">
                            <wp:posOffset>-87366</wp:posOffset>
                          </wp:positionV>
                          <wp:extent cx="6120130" cy="0"/>
                          <wp:effectExtent l="0" t="0" r="0" b="0"/>
                          <wp:wrapNone/>
                          <wp:docPr id="933236669" name="Přímá spojnice 2"/>
                          <wp:cNvGraphicFramePr/>
                          <a:graphic xmlns:a="http://schemas.openxmlformats.org/drawingml/2006/main">
                            <a:graphicData uri="http://schemas.microsoft.com/office/word/2010/wordprocessingShape">
                              <wps:wsp>
                                <wps:cNvCnPr/>
                                <wps:spPr>
                                  <a:xfrm flipV="1">
                                    <a:off x="0" y="0"/>
                                    <a:ext cx="6120130" cy="0"/>
                                  </a:xfrm>
                                  <a:prstGeom prst="line">
                                    <a:avLst/>
                                  </a:prstGeom>
                                  <a:ln>
                                    <a:solidFill>
                                      <a:srgbClr val="161A4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6657F1" id="Přímá spojnice 2" o:spid="_x0000_s1026" style="position:absolute;flip:y;z-index:251662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6.9pt" to="481.9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" strokecolor="#161a48">
                          <w10:wrap anchorx="margin"/>
                        </v:line>
                      </w:pict>
                    </mc:Fallback>
                  </mc:AlternateContent>
                </w:r>
                <w:r w:rsidR="00FC6A70" w:rsidRPr="00FC6A70">
                  <w:rPr>
                    <w:rFonts w:ascii="Arial" w:hAnsi="Arial" w:cs="Arial"/>
                    <w:noProof/>
                    <w:color w:val="002060"/>
                    <w:sz w:val="16"/>
                    <w:szCs w:val="16"/>
                  </w:rPr>
                  <w:t xml:space="preserve"> </w:t>
                </w:r>
                <w:r w:rsidR="00FC6A70" w:rsidRPr="00B13622">
                  <w:rPr>
                    <w:rFonts w:ascii="Arial" w:hAnsi="Arial" w:cs="Arial"/>
                    <w:noProof/>
                    <w:color w:val="002060"/>
                    <w:sz w:val="16"/>
                    <w:szCs w:val="16"/>
                  </w:rPr>
                  <mc:AlternateContent>
                    <mc:Choice Requires="wps">
                      <w:drawing>
                        <wp:anchor distT="0" distB="0" distL="114300" distR="114300" simplePos="0" relativeHeight="251663872" behindDoc="0" locked="0" layoutInCell="1" allowOverlap="1" wp14:anchorId="2B458FAF" wp14:editId="22D7C641">
                          <wp:simplePos x="0" y="0"/>
                          <wp:positionH relativeFrom="margin">
                            <wp:posOffset>0</wp:posOffset>
                          </wp:positionH>
                          <wp:positionV relativeFrom="paragraph">
                            <wp:posOffset>-87366</wp:posOffset>
                          </wp:positionV>
                          <wp:extent cx="6120130" cy="0"/>
                          <wp:effectExtent l="0" t="0" r="0" b="0"/>
                          <wp:wrapNone/>
                          <wp:docPr id="926725372" name="Přímá spojnice 2"/>
                          <wp:cNvGraphicFramePr/>
                          <a:graphic xmlns:a="http://schemas.openxmlformats.org/drawingml/2006/main">
                            <a:graphicData uri="http://schemas.microsoft.com/office/word/2010/wordprocessingShape">
                              <wps:wsp>
                                <wps:cNvCnPr/>
                                <wps:spPr>
                                  <a:xfrm flipV="1">
                                    <a:off x="0" y="0"/>
                                    <a:ext cx="6120130" cy="0"/>
                                  </a:xfrm>
                                  <a:prstGeom prst="line">
                                    <a:avLst/>
                                  </a:prstGeom>
                                  <a:ln>
                                    <a:solidFill>
                                      <a:srgbClr val="161A4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4282B8" id="Přímá spojnice 2" o:spid="_x0000_s1026" style="position:absolute;flip:y;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6.9pt" to="481.9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" strokecolor="#161a48">
                          <w10:wrap anchorx="margin"/>
                        </v:line>
                      </w:pict>
                    </mc:Fallback>
                  </mc:AlternateContent>
                </w:r>
                <w:r w:rsidR="00FC6A70" w:rsidRPr="00B13622">
                  <w:rPr>
                    <w:rFonts w:ascii="Arial" w:hAnsi="Arial" w:cs="Arial"/>
                    <w:noProof/>
                    <w:color w:val="002060"/>
                    <w:sz w:val="16"/>
                    <w:szCs w:val="16"/>
                  </w:rPr>
                  <mc:AlternateContent>
                    <mc:Choice Requires="wps">
                      <w:drawing>
                        <wp:anchor distT="0" distB="0" distL="114300" distR="114300" simplePos="0" relativeHeight="251664896" behindDoc="0" locked="0" layoutInCell="1" allowOverlap="1" wp14:anchorId="4A370358" wp14:editId="4ADD811B">
                          <wp:simplePos x="0" y="0"/>
                          <wp:positionH relativeFrom="margin">
                            <wp:posOffset>0</wp:posOffset>
                          </wp:positionH>
                          <wp:positionV relativeFrom="paragraph">
                            <wp:posOffset>-87366</wp:posOffset>
                          </wp:positionV>
                          <wp:extent cx="6120130" cy="0"/>
                          <wp:effectExtent l="0" t="0" r="0" b="0"/>
                          <wp:wrapNone/>
                          <wp:docPr id="1614265714" name="Přímá spojnice 2"/>
                          <wp:cNvGraphicFramePr/>
                          <a:graphic xmlns:a="http://schemas.openxmlformats.org/drawingml/2006/main">
                            <a:graphicData uri="http://schemas.microsoft.com/office/word/2010/wordprocessingShape">
                              <wps:wsp>
                                <wps:cNvCnPr/>
                                <wps:spPr>
                                  <a:xfrm flipV="1">
                                    <a:off x="0" y="0"/>
                                    <a:ext cx="6120130" cy="0"/>
                                  </a:xfrm>
                                  <a:prstGeom prst="line">
                                    <a:avLst/>
                                  </a:prstGeom>
                                  <a:ln>
                                    <a:solidFill>
                                      <a:srgbClr val="161A4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AE7C7A" id="Přímá spojnice 2" o:spid="_x0000_s1026" style="position:absolute;flip:y;z-index:251664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6.9pt" to="481.9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" strokecolor="#161a48">
                          <w10:wrap anchorx="margin"/>
                        </v:line>
                      </w:pict>
                    </mc:Fallback>
                  </mc:AlternateContent>
                </w:r>
                <w:r w:rsidR="00FC6A70" w:rsidRPr="00B13622">
                  <w:rPr>
                    <w:rFonts w:ascii="Arial" w:hAnsi="Arial" w:cs="Arial"/>
                    <w:noProof/>
                    <w:color w:val="002060"/>
                    <w:sz w:val="16"/>
                    <w:szCs w:val="16"/>
                  </w:rPr>
                  <mc:AlternateContent>
                    <mc:Choice Requires="wps">
                      <w:drawing>
                        <wp:anchor distT="0" distB="0" distL="114300" distR="114300" simplePos="0" relativeHeight="251665920" behindDoc="0" locked="0" layoutInCell="1" allowOverlap="1" wp14:anchorId="701D59D8" wp14:editId="2EAECC51">
                          <wp:simplePos x="0" y="0"/>
                          <wp:positionH relativeFrom="margin">
                            <wp:posOffset>0</wp:posOffset>
                          </wp:positionH>
                          <wp:positionV relativeFrom="paragraph">
                            <wp:posOffset>-87366</wp:posOffset>
                          </wp:positionV>
                          <wp:extent cx="6120130" cy="0"/>
                          <wp:effectExtent l="0" t="0" r="0" b="0"/>
                          <wp:wrapNone/>
                          <wp:docPr id="721324124" name="Přímá spojnice 2"/>
                          <wp:cNvGraphicFramePr/>
                          <a:graphic xmlns:a="http://schemas.openxmlformats.org/drawingml/2006/main">
                            <a:graphicData uri="http://schemas.microsoft.com/office/word/2010/wordprocessingShape">
                              <wps:wsp>
                                <wps:cNvCnPr/>
                                <wps:spPr>
                                  <a:xfrm flipV="1">
                                    <a:off x="0" y="0"/>
                                    <a:ext cx="6120130" cy="0"/>
                                  </a:xfrm>
                                  <a:prstGeom prst="line">
                                    <a:avLst/>
                                  </a:prstGeom>
                                  <a:ln>
                                    <a:solidFill>
                                      <a:srgbClr val="161A4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DA5380" id="Přímá spojnice 2" o:spid="_x0000_s1026" style="position:absolute;flip:y;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6.9pt" to="481.9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" strokecolor="#161a48">
                          <w10:wrap anchorx="margin"/>
                        </v:line>
                      </w:pict>
                    </mc:Fallback>
                  </mc:AlternateContent>
                </w:r>
                <w:r w:rsidR="00FC6A70" w:rsidRPr="00FC6A70">
                  <w:rPr>
                    <w:rFonts w:ascii="Arial" w:hAnsi="Arial" w:cs="Arial"/>
                    <w:sz w:val="16"/>
                    <w:szCs w:val="16"/>
                  </w:rPr>
                  <w:t xml:space="preserve">Souhrnné závěrečné vyhodnocení </w:t>
                </w:r>
                <w:r w:rsidR="00FC6A70">
                  <w:rPr>
                    <w:rFonts w:ascii="Arial" w:hAnsi="Arial" w:cs="Arial"/>
                    <w:sz w:val="16"/>
                    <w:szCs w:val="16"/>
                  </w:rPr>
                  <w:t>Koncepce IS VaVaI</w:t>
                </w:r>
                <w:r w:rsidR="00FC6A70" w:rsidRPr="00FC6A70">
                  <w:rPr>
                    <w:rFonts w:ascii="Arial" w:hAnsi="Arial" w:cs="Arial"/>
                    <w:sz w:val="16"/>
                    <w:szCs w:val="16"/>
                  </w:rPr>
                  <w:t xml:space="preserve"> za období 2021-2025</w:t>
                </w:r>
                <w:r w:rsidR="00FE050F">
                  <w:rPr>
                    <w:rFonts w:ascii="Arial" w:hAnsi="Arial" w:cs="Arial"/>
                  </w:rPr>
                  <w:t xml:space="preserve">        </w:t>
                </w:r>
                <w:r w:rsidR="00FE050F" w:rsidRPr="00B13622">
                  <w:rPr>
                    <w:rFonts w:ascii="Arial" w:hAnsi="Arial" w:cs="Arial"/>
                    <w:sz w:val="16"/>
                    <w:szCs w:val="16"/>
                  </w:rPr>
                  <w:t>Zpracoval</w:t>
                </w:r>
                <w:r w:rsidR="00FE050F">
                  <w:rPr>
                    <w:rFonts w:ascii="Arial" w:hAnsi="Arial" w:cs="Arial"/>
                    <w:sz w:val="16"/>
                    <w:szCs w:val="16"/>
                  </w:rPr>
                  <w:t xml:space="preserve">a: Ing. Jana </w:t>
                </w:r>
                <w:proofErr w:type="spellStart"/>
                <w:r w:rsidR="00FE050F">
                  <w:rPr>
                    <w:rFonts w:ascii="Arial" w:hAnsi="Arial" w:cs="Arial"/>
                    <w:sz w:val="16"/>
                    <w:szCs w:val="16"/>
                  </w:rPr>
                  <w:t>Fiačanová</w:t>
                </w:r>
                <w:proofErr w:type="spellEnd"/>
                <w:r w:rsidRPr="00B13622">
                  <w:rPr>
                    <w:rFonts w:ascii="Arial" w:hAnsi="Arial" w:cs="Arial"/>
                  </w:rPr>
                  <w:tab/>
                </w:r>
                <w:r w:rsidR="00212FA3">
                  <w:rPr>
                    <w:rFonts w:ascii="Arial" w:hAnsi="Arial" w:cs="Arial"/>
                  </w:rPr>
                  <w:t xml:space="preserve"> </w:t>
                </w:r>
                <w:r w:rsidRPr="00B13622">
                  <w:rPr>
                    <w:rFonts w:ascii="Arial" w:hAnsi="Arial" w:cs="Arial"/>
                    <w:sz w:val="16"/>
                    <w:szCs w:val="16"/>
                  </w:rPr>
                  <w:t xml:space="preserve">Stránka </w:t>
                </w:r>
                <w:r w:rsidRPr="00B13622">
                  <w:rPr>
                    <w:rFonts w:ascii="Arial" w:hAnsi="Arial" w:cs="Arial"/>
                    <w:sz w:val="16"/>
                    <w:szCs w:val="16"/>
                  </w:rPr>
                  <w:fldChar w:fldCharType="begin"/>
                </w:r>
                <w:r w:rsidRPr="00B13622">
                  <w:rPr>
                    <w:rFonts w:ascii="Arial" w:hAnsi="Arial" w:cs="Arial"/>
                    <w:sz w:val="16"/>
                    <w:szCs w:val="16"/>
                  </w:rPr>
                  <w:instrText>PAGE</w:instrText>
                </w:r>
                <w:r w:rsidRPr="00B13622">
                  <w:rPr>
                    <w:rFonts w:ascii="Arial" w:hAnsi="Arial" w:cs="Arial"/>
                    <w:sz w:val="16"/>
                    <w:szCs w:val="16"/>
                  </w:rPr>
                  <w:fldChar w:fldCharType="separate"/>
                </w:r>
                <w:r>
                  <w:rPr>
                    <w:rFonts w:ascii="Arial" w:hAnsi="Arial" w:cs="Arial"/>
                    <w:sz w:val="16"/>
                    <w:szCs w:val="16"/>
                  </w:rPr>
                  <w:t>1</w:t>
                </w:r>
                <w:r w:rsidRPr="00B13622">
                  <w:rPr>
                    <w:rFonts w:ascii="Arial" w:hAnsi="Arial" w:cs="Arial"/>
                    <w:sz w:val="16"/>
                    <w:szCs w:val="16"/>
                  </w:rPr>
                  <w:fldChar w:fldCharType="end"/>
                </w:r>
                <w:r w:rsidRPr="00B13622">
                  <w:rPr>
                    <w:rFonts w:ascii="Arial" w:hAnsi="Arial" w:cs="Arial"/>
                    <w:sz w:val="16"/>
                    <w:szCs w:val="16"/>
                  </w:rPr>
                  <w:t xml:space="preserve"> (celkem </w:t>
                </w:r>
                <w:r w:rsidRPr="00B13622">
                  <w:rPr>
                    <w:rFonts w:ascii="Arial" w:hAnsi="Arial" w:cs="Arial"/>
                    <w:sz w:val="16"/>
                    <w:szCs w:val="16"/>
                  </w:rPr>
                  <w:fldChar w:fldCharType="begin"/>
                </w:r>
                <w:r w:rsidRPr="00B13622">
                  <w:rPr>
                    <w:rFonts w:ascii="Arial" w:hAnsi="Arial" w:cs="Arial"/>
                    <w:sz w:val="16"/>
                    <w:szCs w:val="16"/>
                  </w:rPr>
                  <w:instrText>NUMPAGES</w:instrText>
                </w:r>
                <w:r w:rsidRPr="00B13622">
                  <w:rPr>
                    <w:rFonts w:ascii="Arial" w:hAnsi="Arial" w:cs="Arial"/>
                    <w:sz w:val="16"/>
                    <w:szCs w:val="16"/>
                  </w:rPr>
                  <w:fldChar w:fldCharType="separate"/>
                </w:r>
                <w:r>
                  <w:rPr>
                    <w:rFonts w:ascii="Arial" w:hAnsi="Arial" w:cs="Arial"/>
                    <w:sz w:val="16"/>
                    <w:szCs w:val="16"/>
                  </w:rPr>
                  <w:t>2</w:t>
                </w:r>
                <w:r w:rsidRPr="00B13622">
                  <w:rPr>
                    <w:rFonts w:ascii="Arial" w:hAnsi="Arial" w:cs="Arial"/>
                    <w:sz w:val="16"/>
                    <w:szCs w:val="16"/>
                  </w:rPr>
                  <w:fldChar w:fldCharType="end"/>
                </w:r>
                <w:r w:rsidRPr="00B13622">
                  <w:rPr>
                    <w:rFonts w:ascii="Arial" w:hAnsi="Arial" w:cs="Arial"/>
                    <w:sz w:val="16"/>
                    <w:szCs w:val="16"/>
                  </w:rPr>
                  <w:t>)</w:t>
                </w:r>
              </w:sdtContent>
            </w:sdt>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027467776"/>
      <w:docPartObj>
        <w:docPartGallery w:val="Page Numbers (Bottom of Page)"/>
        <w:docPartUnique/>
      </w:docPartObj>
    </w:sdtPr>
    <w:sdtEndPr/>
    <w:sdtContent>
      <w:sdt>
        <w:sdtPr>
          <w:rPr>
            <w:rFonts w:ascii="Arial" w:hAnsi="Arial" w:cs="Arial"/>
          </w:rPr>
          <w:id w:val="-1705238520"/>
          <w:docPartObj>
            <w:docPartGallery w:val="Page Numbers (Top of Page)"/>
            <w:docPartUnique/>
          </w:docPartObj>
        </w:sdtPr>
        <w:sdtEndPr/>
        <w:sdtContent>
          <w:p w14:paraId="5E8152C5" w14:textId="65523EE4" w:rsidR="00B13622" w:rsidRPr="00E254A5" w:rsidRDefault="00B13622" w:rsidP="00B13622">
            <w:pPr>
              <w:pStyle w:val="Zpat"/>
              <w:rPr>
                <w:rFonts w:ascii="Arial" w:hAnsi="Arial" w:cs="Arial"/>
              </w:rPr>
            </w:pPr>
            <w:r w:rsidRPr="00B13622">
              <w:rPr>
                <w:rFonts w:ascii="Arial" w:hAnsi="Arial" w:cs="Arial"/>
                <w:noProof/>
                <w:color w:val="002060"/>
              </w:rPr>
              <mc:AlternateContent>
                <mc:Choice Requires="wps">
                  <w:drawing>
                    <wp:anchor distT="0" distB="0" distL="114300" distR="114300" simplePos="0" relativeHeight="251649536" behindDoc="0" locked="0" layoutInCell="1" allowOverlap="1" wp14:anchorId="608BAF7D" wp14:editId="32920EB8">
                      <wp:simplePos x="0" y="0"/>
                      <wp:positionH relativeFrom="margin">
                        <wp:posOffset>0</wp:posOffset>
                      </wp:positionH>
                      <wp:positionV relativeFrom="paragraph">
                        <wp:posOffset>-87366</wp:posOffset>
                      </wp:positionV>
                      <wp:extent cx="6120130" cy="0"/>
                      <wp:effectExtent l="0" t="0" r="0" b="0"/>
                      <wp:wrapNone/>
                      <wp:docPr id="1506163037" name="Přímá spojnice 2"/>
                      <wp:cNvGraphicFramePr/>
                      <a:graphic xmlns:a="http://schemas.openxmlformats.org/drawingml/2006/main">
                        <a:graphicData uri="http://schemas.microsoft.com/office/word/2010/wordprocessingShape">
                          <wps:wsp>
                            <wps:cNvCnPr/>
                            <wps:spPr>
                              <a:xfrm flipV="1">
                                <a:off x="0" y="0"/>
                                <a:ext cx="6120130" cy="0"/>
                              </a:xfrm>
                              <a:prstGeom prst="line">
                                <a:avLst/>
                              </a:prstGeom>
                              <a:ln>
                                <a:solidFill>
                                  <a:srgbClr val="161A4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54CF76" id="Přímá spojnice 2" o:spid="_x0000_s1026" style="position:absolute;flip:y;z-index:251649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6.9pt" to="481.9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" strokecolor="#161a48">
                      <w10:wrap anchorx="margin"/>
                    </v:line>
                  </w:pict>
                </mc:Fallback>
              </mc:AlternateContent>
            </w:r>
            <w:sdt>
              <w:sdtPr>
                <w:rPr>
                  <w:rFonts w:ascii="Arial" w:hAnsi="Arial" w:cs="Arial"/>
                </w:rPr>
                <w:id w:val="-522399202"/>
                <w:docPartObj>
                  <w:docPartGallery w:val="Page Numbers (Top of Page)"/>
                  <w:docPartUnique/>
                </w:docPartObj>
              </w:sdtPr>
              <w:sdtEndPr/>
              <w:sdtContent>
                <w:r w:rsidRPr="00B13622">
                  <w:rPr>
                    <w:rFonts w:ascii="Arial" w:hAnsi="Arial" w:cs="Arial"/>
                    <w:noProof/>
                    <w:color w:val="002060"/>
                    <w:sz w:val="16"/>
                    <w:szCs w:val="16"/>
                  </w:rPr>
                  <mc:AlternateContent>
                    <mc:Choice Requires="wps">
                      <w:drawing>
                        <wp:anchor distT="0" distB="0" distL="114300" distR="114300" simplePos="0" relativeHeight="251652608" behindDoc="0" locked="0" layoutInCell="1" allowOverlap="1" wp14:anchorId="29CB5487" wp14:editId="7978F61F">
                          <wp:simplePos x="0" y="0"/>
                          <wp:positionH relativeFrom="margin">
                            <wp:posOffset>0</wp:posOffset>
                          </wp:positionH>
                          <wp:positionV relativeFrom="paragraph">
                            <wp:posOffset>-87366</wp:posOffset>
                          </wp:positionV>
                          <wp:extent cx="6120130" cy="0"/>
                          <wp:effectExtent l="0" t="0" r="0" b="0"/>
                          <wp:wrapNone/>
                          <wp:docPr id="1407251093" name="Přímá spojnice 2"/>
                          <wp:cNvGraphicFramePr/>
                          <a:graphic xmlns:a="http://schemas.openxmlformats.org/drawingml/2006/main">
                            <a:graphicData uri="http://schemas.microsoft.com/office/word/2010/wordprocessingShape">
                              <wps:wsp>
                                <wps:cNvCnPr/>
                                <wps:spPr>
                                  <a:xfrm flipV="1">
                                    <a:off x="0" y="0"/>
                                    <a:ext cx="6120130" cy="0"/>
                                  </a:xfrm>
                                  <a:prstGeom prst="line">
                                    <a:avLst/>
                                  </a:prstGeom>
                                  <a:ln>
                                    <a:solidFill>
                                      <a:srgbClr val="161A4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808188" id="Přímá spojnice 2" o:spid="_x0000_s1026" style="position:absolute;flip:y;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6.9pt" to="481.9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" strokecolor="#161a48">
                          <w10:wrap anchorx="margin"/>
                        </v:line>
                      </w:pict>
                    </mc:Fallback>
                  </mc:AlternateContent>
                </w:r>
                <w:r w:rsidR="00FE050F" w:rsidRPr="00B13622">
                  <w:rPr>
                    <w:rFonts w:ascii="Arial" w:hAnsi="Arial" w:cs="Arial"/>
                    <w:noProof/>
                    <w:color w:val="002060"/>
                    <w:sz w:val="16"/>
                    <w:szCs w:val="16"/>
                  </w:rPr>
                  <mc:AlternateContent>
                    <mc:Choice Requires="wps">
                      <w:drawing>
                        <wp:anchor distT="0" distB="0" distL="114300" distR="114300" simplePos="0" relativeHeight="251656704" behindDoc="0" locked="0" layoutInCell="1" allowOverlap="1" wp14:anchorId="7334F0AE" wp14:editId="3641712D">
                          <wp:simplePos x="0" y="0"/>
                          <wp:positionH relativeFrom="margin">
                            <wp:posOffset>0</wp:posOffset>
                          </wp:positionH>
                          <wp:positionV relativeFrom="paragraph">
                            <wp:posOffset>-87366</wp:posOffset>
                          </wp:positionV>
                          <wp:extent cx="6120130" cy="0"/>
                          <wp:effectExtent l="0" t="0" r="0" b="0"/>
                          <wp:wrapNone/>
                          <wp:docPr id="1558124819" name="Přímá spojnice 2"/>
                          <wp:cNvGraphicFramePr/>
                          <a:graphic xmlns:a="http://schemas.openxmlformats.org/drawingml/2006/main">
                            <a:graphicData uri="http://schemas.microsoft.com/office/word/2010/wordprocessingShape">
                              <wps:wsp>
                                <wps:cNvCnPr/>
                                <wps:spPr>
                                  <a:xfrm flipV="1">
                                    <a:off x="0" y="0"/>
                                    <a:ext cx="6120130" cy="0"/>
                                  </a:xfrm>
                                  <a:prstGeom prst="line">
                                    <a:avLst/>
                                  </a:prstGeom>
                                  <a:ln>
                                    <a:solidFill>
                                      <a:srgbClr val="161A4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5638D9" id="Přímá spojnice 2" o:spid="_x0000_s1026" style="position:absolute;flip:y;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6.9pt" to="481.9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" strokecolor="#161a48">
                          <w10:wrap anchorx="margin"/>
                        </v:line>
                      </w:pict>
                    </mc:Fallback>
                  </mc:AlternateContent>
                </w:r>
                <w:r w:rsidR="00FE050F" w:rsidRPr="00B13622">
                  <w:rPr>
                    <w:rFonts w:ascii="Arial" w:hAnsi="Arial" w:cs="Arial"/>
                    <w:noProof/>
                    <w:color w:val="002060"/>
                    <w:sz w:val="16"/>
                    <w:szCs w:val="16"/>
                  </w:rPr>
                  <mc:AlternateContent>
                    <mc:Choice Requires="wps">
                      <w:drawing>
                        <wp:anchor distT="0" distB="0" distL="114300" distR="114300" simplePos="0" relativeHeight="251659776" behindDoc="0" locked="0" layoutInCell="1" allowOverlap="1" wp14:anchorId="5E4B91FA" wp14:editId="5C6822D1">
                          <wp:simplePos x="0" y="0"/>
                          <wp:positionH relativeFrom="margin">
                            <wp:posOffset>0</wp:posOffset>
                          </wp:positionH>
                          <wp:positionV relativeFrom="paragraph">
                            <wp:posOffset>-87366</wp:posOffset>
                          </wp:positionV>
                          <wp:extent cx="6120130" cy="0"/>
                          <wp:effectExtent l="0" t="0" r="0" b="0"/>
                          <wp:wrapNone/>
                          <wp:docPr id="1610240426" name="Přímá spojnice 2"/>
                          <wp:cNvGraphicFramePr/>
                          <a:graphic xmlns:a="http://schemas.openxmlformats.org/drawingml/2006/main">
                            <a:graphicData uri="http://schemas.microsoft.com/office/word/2010/wordprocessingShape">
                              <wps:wsp>
                                <wps:cNvCnPr/>
                                <wps:spPr>
                                  <a:xfrm flipV="1">
                                    <a:off x="0" y="0"/>
                                    <a:ext cx="6120130" cy="0"/>
                                  </a:xfrm>
                                  <a:prstGeom prst="line">
                                    <a:avLst/>
                                  </a:prstGeom>
                                  <a:ln>
                                    <a:solidFill>
                                      <a:srgbClr val="161A4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32DC8F" id="Přímá spojnice 2" o:spid="_x0000_s1026" style="position:absolute;flip:y;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6.9pt" to="481.9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" strokecolor="#161a48">
                          <w10:wrap anchorx="margin"/>
                        </v:line>
                      </w:pict>
                    </mc:Fallback>
                  </mc:AlternateContent>
                </w:r>
                <w:r w:rsidR="00FC6A70" w:rsidRPr="00FC6A70">
                  <w:rPr>
                    <w:rFonts w:ascii="Arial" w:hAnsi="Arial" w:cs="Arial"/>
                    <w:sz w:val="16"/>
                    <w:szCs w:val="16"/>
                  </w:rPr>
                  <w:t xml:space="preserve">Souhrnné závěrečné vyhodnocení </w:t>
                </w:r>
                <w:r w:rsidR="00FC6A70">
                  <w:rPr>
                    <w:rFonts w:ascii="Arial" w:hAnsi="Arial" w:cs="Arial"/>
                    <w:sz w:val="16"/>
                    <w:szCs w:val="16"/>
                  </w:rPr>
                  <w:t>Koncepce IS VaVaI</w:t>
                </w:r>
                <w:r w:rsidR="00FC6A70" w:rsidRPr="00FC6A70">
                  <w:rPr>
                    <w:rFonts w:ascii="Arial" w:hAnsi="Arial" w:cs="Arial"/>
                    <w:sz w:val="16"/>
                    <w:szCs w:val="16"/>
                  </w:rPr>
                  <w:t xml:space="preserve"> za období 2021-2025</w:t>
                </w:r>
                <w:r w:rsidR="00FE050F">
                  <w:rPr>
                    <w:rFonts w:ascii="Arial" w:hAnsi="Arial" w:cs="Arial"/>
                  </w:rPr>
                  <w:t xml:space="preserve">     </w:t>
                </w:r>
                <w:r w:rsidR="00FE050F" w:rsidRPr="00B13622">
                  <w:rPr>
                    <w:rFonts w:ascii="Arial" w:hAnsi="Arial" w:cs="Arial"/>
                    <w:sz w:val="16"/>
                    <w:szCs w:val="16"/>
                  </w:rPr>
                  <w:t>Zpracoval</w:t>
                </w:r>
                <w:r w:rsidR="00FE050F">
                  <w:rPr>
                    <w:rFonts w:ascii="Arial" w:hAnsi="Arial" w:cs="Arial"/>
                    <w:sz w:val="16"/>
                    <w:szCs w:val="16"/>
                  </w:rPr>
                  <w:t xml:space="preserve">a: Ing. Jana </w:t>
                </w:r>
                <w:proofErr w:type="spellStart"/>
                <w:r w:rsidR="00FE050F">
                  <w:rPr>
                    <w:rFonts w:ascii="Arial" w:hAnsi="Arial" w:cs="Arial"/>
                    <w:sz w:val="16"/>
                    <w:szCs w:val="16"/>
                  </w:rPr>
                  <w:t>Fiačanová</w:t>
                </w:r>
                <w:proofErr w:type="spellEnd"/>
                <w:r w:rsidRPr="00B13622">
                  <w:rPr>
                    <w:rFonts w:ascii="Arial" w:hAnsi="Arial" w:cs="Arial"/>
                  </w:rPr>
                  <w:t xml:space="preserve"> </w:t>
                </w:r>
                <w:r w:rsidRPr="00B13622">
                  <w:rPr>
                    <w:rFonts w:ascii="Arial" w:hAnsi="Arial" w:cs="Arial"/>
                  </w:rPr>
                  <w:tab/>
                </w:r>
                <w:r w:rsidRPr="00B13622">
                  <w:rPr>
                    <w:rFonts w:ascii="Arial" w:hAnsi="Arial" w:cs="Arial"/>
                    <w:sz w:val="16"/>
                    <w:szCs w:val="16"/>
                  </w:rPr>
                  <w:t xml:space="preserve">Stránka </w:t>
                </w:r>
                <w:r w:rsidRPr="00B13622">
                  <w:rPr>
                    <w:rFonts w:ascii="Arial" w:hAnsi="Arial" w:cs="Arial"/>
                    <w:sz w:val="16"/>
                    <w:szCs w:val="16"/>
                  </w:rPr>
                  <w:fldChar w:fldCharType="begin"/>
                </w:r>
                <w:r w:rsidRPr="00B13622">
                  <w:rPr>
                    <w:rFonts w:ascii="Arial" w:hAnsi="Arial" w:cs="Arial"/>
                    <w:sz w:val="16"/>
                    <w:szCs w:val="16"/>
                  </w:rPr>
                  <w:instrText>PAGE</w:instrText>
                </w:r>
                <w:r w:rsidRPr="00B13622">
                  <w:rPr>
                    <w:rFonts w:ascii="Arial" w:hAnsi="Arial" w:cs="Arial"/>
                    <w:sz w:val="16"/>
                    <w:szCs w:val="16"/>
                  </w:rPr>
                  <w:fldChar w:fldCharType="separate"/>
                </w:r>
                <w:r w:rsidRPr="00B13622">
                  <w:rPr>
                    <w:rFonts w:ascii="Arial" w:hAnsi="Arial" w:cs="Arial"/>
                    <w:sz w:val="16"/>
                    <w:szCs w:val="16"/>
                  </w:rPr>
                  <w:t>2</w:t>
                </w:r>
                <w:r w:rsidRPr="00B13622">
                  <w:rPr>
                    <w:rFonts w:ascii="Arial" w:hAnsi="Arial" w:cs="Arial"/>
                    <w:sz w:val="16"/>
                    <w:szCs w:val="16"/>
                  </w:rPr>
                  <w:fldChar w:fldCharType="end"/>
                </w:r>
                <w:r w:rsidRPr="00B13622">
                  <w:rPr>
                    <w:rFonts w:ascii="Arial" w:hAnsi="Arial" w:cs="Arial"/>
                    <w:sz w:val="16"/>
                    <w:szCs w:val="16"/>
                  </w:rPr>
                  <w:t xml:space="preserve"> (celkem </w:t>
                </w:r>
                <w:r w:rsidRPr="00B13622">
                  <w:rPr>
                    <w:rFonts w:ascii="Arial" w:hAnsi="Arial" w:cs="Arial"/>
                    <w:sz w:val="16"/>
                    <w:szCs w:val="16"/>
                  </w:rPr>
                  <w:fldChar w:fldCharType="begin"/>
                </w:r>
                <w:r w:rsidRPr="00B13622">
                  <w:rPr>
                    <w:rFonts w:ascii="Arial" w:hAnsi="Arial" w:cs="Arial"/>
                    <w:sz w:val="16"/>
                    <w:szCs w:val="16"/>
                  </w:rPr>
                  <w:instrText>NUMPAGES</w:instrText>
                </w:r>
                <w:r w:rsidRPr="00B13622">
                  <w:rPr>
                    <w:rFonts w:ascii="Arial" w:hAnsi="Arial" w:cs="Arial"/>
                    <w:sz w:val="16"/>
                    <w:szCs w:val="16"/>
                  </w:rPr>
                  <w:fldChar w:fldCharType="separate"/>
                </w:r>
                <w:r w:rsidRPr="00B13622">
                  <w:rPr>
                    <w:rFonts w:ascii="Arial" w:hAnsi="Arial" w:cs="Arial"/>
                    <w:sz w:val="16"/>
                    <w:szCs w:val="16"/>
                  </w:rPr>
                  <w:t>5</w:t>
                </w:r>
                <w:r w:rsidRPr="00B13622">
                  <w:rPr>
                    <w:rFonts w:ascii="Arial" w:hAnsi="Arial" w:cs="Arial"/>
                    <w:sz w:val="16"/>
                    <w:szCs w:val="16"/>
                  </w:rPr>
                  <w:fldChar w:fldCharType="end"/>
                </w:r>
                <w:r w:rsidRPr="00B13622">
                  <w:rPr>
                    <w:rFonts w:ascii="Arial" w:hAnsi="Arial" w:cs="Arial"/>
                    <w:sz w:val="16"/>
                    <w:szCs w:val="16"/>
                  </w:rPr>
                  <w:t>)</w:t>
                </w:r>
              </w:sdtContent>
            </w:sdt>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8A97F" w14:textId="77777777" w:rsidR="00856CF7" w:rsidRDefault="00856CF7" w:rsidP="008F77F6">
      <w:r>
        <w:separator/>
      </w:r>
    </w:p>
  </w:footnote>
  <w:footnote w:type="continuationSeparator" w:id="0">
    <w:p w14:paraId="04321D39" w14:textId="77777777" w:rsidR="00856CF7" w:rsidRDefault="00856CF7" w:rsidP="008F7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3C7B4" w14:textId="38D98CCD" w:rsidR="00B13622" w:rsidRDefault="00B13622">
    <w:pPr>
      <w:pStyle w:val="Zhlav"/>
    </w:pPr>
    <w:r>
      <w:rPr>
        <w:noProof/>
      </w:rPr>
      <mc:AlternateContent>
        <mc:Choice Requires="wps">
          <w:drawing>
            <wp:anchor distT="0" distB="0" distL="0" distR="0" simplePos="0" relativeHeight="251654656" behindDoc="1" locked="0" layoutInCell="1" allowOverlap="1" wp14:anchorId="0CFB6566" wp14:editId="4332E54B">
              <wp:simplePos x="0" y="0"/>
              <wp:positionH relativeFrom="margin">
                <wp:posOffset>4961729</wp:posOffset>
              </wp:positionH>
              <wp:positionV relativeFrom="topMargin">
                <wp:posOffset>695505</wp:posOffset>
              </wp:positionV>
              <wp:extent cx="1104596" cy="333375"/>
              <wp:effectExtent l="0" t="0" r="0" b="0"/>
              <wp:wrapNone/>
              <wp:docPr id="46" name="Text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4596" cy="333375"/>
                      </a:xfrm>
                      <a:prstGeom prst="rect">
                        <a:avLst/>
                      </a:prstGeom>
                    </wps:spPr>
                    <wps:txbx>
                      <w:txbxContent>
                        <w:p w14:paraId="105D57A6" w14:textId="25B1649F" w:rsidR="00B13622" w:rsidRPr="00B13622" w:rsidRDefault="00B56E53" w:rsidP="00B13622">
                          <w:pPr>
                            <w:spacing w:before="5"/>
                            <w:ind w:left="20"/>
                            <w:jc w:val="right"/>
                            <w:rPr>
                              <w:rFonts w:ascii="Arial" w:hAnsi="Arial" w:cs="Arial"/>
                              <w:b/>
                              <w:sz w:val="44"/>
                            </w:rPr>
                          </w:pPr>
                          <w:r>
                            <w:rPr>
                              <w:rFonts w:ascii="Arial" w:hAnsi="Arial" w:cs="Arial"/>
                              <w:b/>
                              <w:color w:val="161A48"/>
                              <w:sz w:val="28"/>
                              <w:szCs w:val="28"/>
                            </w:rPr>
                            <w:t>418</w:t>
                          </w:r>
                          <w:r w:rsidR="00B13622" w:rsidRPr="00B13622">
                            <w:rPr>
                              <w:rFonts w:ascii="Arial" w:hAnsi="Arial" w:cs="Arial"/>
                              <w:b/>
                              <w:color w:val="161A48"/>
                              <w:sz w:val="28"/>
                              <w:szCs w:val="28"/>
                            </w:rPr>
                            <w:t>/</w:t>
                          </w:r>
                          <w:r w:rsidR="00FE050F">
                            <w:rPr>
                              <w:rFonts w:ascii="Arial" w:hAnsi="Arial" w:cs="Arial"/>
                              <w:b/>
                              <w:color w:val="161A48"/>
                              <w:sz w:val="28"/>
                              <w:szCs w:val="28"/>
                            </w:rPr>
                            <w:t>B</w:t>
                          </w:r>
                          <w:r>
                            <w:rPr>
                              <w:rFonts w:ascii="Arial" w:hAnsi="Arial" w:cs="Arial"/>
                              <w:b/>
                              <w:color w:val="161A48"/>
                              <w:sz w:val="28"/>
                              <w:szCs w:val="28"/>
                            </w:rPr>
                            <w:t>1</w:t>
                          </w:r>
                        </w:p>
                      </w:txbxContent>
                    </wps:txbx>
                    <wps:bodyPr wrap="square" lIns="0" tIns="0" rIns="0" bIns="0" rtlCol="0">
                      <a:noAutofit/>
                    </wps:bodyPr>
                  </wps:wsp>
                </a:graphicData>
              </a:graphic>
              <wp14:sizeRelH relativeFrom="margin">
                <wp14:pctWidth>0</wp14:pctWidth>
              </wp14:sizeRelH>
            </wp:anchor>
          </w:drawing>
        </mc:Choice>
        <mc:Fallback>
          <w:pict>
            <v:shapetype w14:anchorId="0CFB6566" id="_x0000_t202" coordsize="21600,21600" o:spt="202" path="m,l,21600r21600,l21600,xe">
              <v:stroke joinstyle="miter"/>
              <v:path gradientshapeok="t" o:connecttype="rect"/>
            </v:shapetype>
            <v:shape id="Textbox 46" o:spid="_x0000_s1026" type="#_x0000_t202" style="position:absolute;margin-left:390.7pt;margin-top:54.75pt;width:87pt;height:26.25pt;z-index:-251661824;visibility:visible;mso-wrap-style:square;mso-width-percent:0;mso-wrap-distance-left:0;mso-wrap-distance-top:0;mso-wrap-distance-right:0;mso-wrap-distance-bottom:0;mso-position-horizontal:absolute;mso-position-horizontal-relative:margin;mso-position-vertical:absolute;mso-position-vertical-relative:top-margin-area;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" filled="f" stroked="f">
              <v:textbox inset="0,0,0,0">
                <w:txbxContent>
                  <w:p w14:paraId="105D57A6" w14:textId="25B1649F" w:rsidR="00B13622" w:rsidRPr="00B13622" w:rsidRDefault="00B56E53" w:rsidP="00B13622">
                    <w:pPr>
                      <w:spacing w:before="5"/>
                      <w:ind w:left="20"/>
                      <w:jc w:val="right"/>
                      <w:rPr>
                        <w:rFonts w:ascii="Arial" w:hAnsi="Arial" w:cs="Arial"/>
                        <w:b/>
                        <w:sz w:val="44"/>
                      </w:rPr>
                    </w:pPr>
                    <w:r>
                      <w:rPr>
                        <w:rFonts w:ascii="Arial" w:hAnsi="Arial" w:cs="Arial"/>
                        <w:b/>
                        <w:color w:val="161A48"/>
                        <w:sz w:val="28"/>
                        <w:szCs w:val="28"/>
                      </w:rPr>
                      <w:t>418</w:t>
                    </w:r>
                    <w:r w:rsidR="00B13622" w:rsidRPr="00B13622">
                      <w:rPr>
                        <w:rFonts w:ascii="Arial" w:hAnsi="Arial" w:cs="Arial"/>
                        <w:b/>
                        <w:color w:val="161A48"/>
                        <w:sz w:val="28"/>
                        <w:szCs w:val="28"/>
                      </w:rPr>
                      <w:t>/</w:t>
                    </w:r>
                    <w:r w:rsidR="00FE050F">
                      <w:rPr>
                        <w:rFonts w:ascii="Arial" w:hAnsi="Arial" w:cs="Arial"/>
                        <w:b/>
                        <w:color w:val="161A48"/>
                        <w:sz w:val="28"/>
                        <w:szCs w:val="28"/>
                      </w:rPr>
                      <w:t>B</w:t>
                    </w:r>
                    <w:r>
                      <w:rPr>
                        <w:rFonts w:ascii="Arial" w:hAnsi="Arial" w:cs="Arial"/>
                        <w:b/>
                        <w:color w:val="161A48"/>
                        <w:sz w:val="28"/>
                        <w:szCs w:val="28"/>
                      </w:rPr>
                      <w:t>1</w:t>
                    </w:r>
                  </w:p>
                </w:txbxContent>
              </v:textbox>
              <w10:wrap anchorx="margin" anchory="margin"/>
            </v:shape>
          </w:pict>
        </mc:Fallback>
      </mc:AlternateContent>
    </w:r>
    <w:r>
      <w:rPr>
        <w:noProof/>
      </w:rPr>
      <w:drawing>
        <wp:anchor distT="152400" distB="152400" distL="152400" distR="152400" simplePos="0" relativeHeight="251653632" behindDoc="1" locked="1" layoutInCell="1" allowOverlap="0" wp14:anchorId="4D58D5A3" wp14:editId="3086ECB0">
          <wp:simplePos x="0" y="0"/>
          <wp:positionH relativeFrom="margin">
            <wp:posOffset>-48260</wp:posOffset>
          </wp:positionH>
          <wp:positionV relativeFrom="topMargin">
            <wp:posOffset>587375</wp:posOffset>
          </wp:positionV>
          <wp:extent cx="2206625" cy="647700"/>
          <wp:effectExtent l="0" t="0" r="3175" b="0"/>
          <wp:wrapNone/>
          <wp:docPr id="551844123" name="officeArt object" descr="vložený-obrázek.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5" name="vložený-obrázek.pdf" descr="vložený-obrázek.pdf"/>
                  <pic:cNvPicPr>
                    <a:picLocks noChangeAspect="1"/>
                  </pic:cNvPicPr>
                </pic:nvPicPr>
                <pic:blipFill>
                  <a:blip r:embed="rId1"/>
                  <a:stretch>
                    <a:fillRect/>
                  </a:stretch>
                </pic:blipFill>
                <pic:spPr>
                  <a:xfrm>
                    <a:off x="0" y="0"/>
                    <a:ext cx="2206625" cy="64770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941E2"/>
    <w:multiLevelType w:val="hybridMultilevel"/>
    <w:tmpl w:val="8CC840FC"/>
    <w:lvl w:ilvl="0" w:tplc="0405000D">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235A786F"/>
    <w:multiLevelType w:val="hybridMultilevel"/>
    <w:tmpl w:val="2E96891E"/>
    <w:lvl w:ilvl="0" w:tplc="0405000D">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5AAB18F5"/>
    <w:multiLevelType w:val="hybridMultilevel"/>
    <w:tmpl w:val="50F2DB8A"/>
    <w:lvl w:ilvl="0" w:tplc="0405000D">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5D7D551E"/>
    <w:multiLevelType w:val="hybridMultilevel"/>
    <w:tmpl w:val="62AE27E6"/>
    <w:lvl w:ilvl="0" w:tplc="0405000D">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680E3FA1"/>
    <w:multiLevelType w:val="hybridMultilevel"/>
    <w:tmpl w:val="63BECC2C"/>
    <w:lvl w:ilvl="0" w:tplc="0405000D">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782C73BC"/>
    <w:multiLevelType w:val="hybridMultilevel"/>
    <w:tmpl w:val="7C58D70A"/>
    <w:lvl w:ilvl="0" w:tplc="0405000D">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348219709">
    <w:abstractNumId w:val="0"/>
  </w:num>
  <w:num w:numId="2" w16cid:durableId="528375436">
    <w:abstractNumId w:val="3"/>
  </w:num>
  <w:num w:numId="3" w16cid:durableId="934481596">
    <w:abstractNumId w:val="5"/>
  </w:num>
  <w:num w:numId="4" w16cid:durableId="924411445">
    <w:abstractNumId w:val="2"/>
  </w:num>
  <w:num w:numId="5" w16cid:durableId="546068771">
    <w:abstractNumId w:val="4"/>
  </w:num>
  <w:num w:numId="6" w16cid:durableId="343097752">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77F6"/>
    <w:rsid w:val="0000012F"/>
    <w:rsid w:val="0000157E"/>
    <w:rsid w:val="00011E5A"/>
    <w:rsid w:val="000120D6"/>
    <w:rsid w:val="00012113"/>
    <w:rsid w:val="0001391A"/>
    <w:rsid w:val="00016B78"/>
    <w:rsid w:val="0002313D"/>
    <w:rsid w:val="00033327"/>
    <w:rsid w:val="00035EFD"/>
    <w:rsid w:val="00041AC0"/>
    <w:rsid w:val="00043977"/>
    <w:rsid w:val="00043BB4"/>
    <w:rsid w:val="00043F1A"/>
    <w:rsid w:val="000447B2"/>
    <w:rsid w:val="00046096"/>
    <w:rsid w:val="000472F8"/>
    <w:rsid w:val="000549A1"/>
    <w:rsid w:val="000562B1"/>
    <w:rsid w:val="000574CE"/>
    <w:rsid w:val="00060D62"/>
    <w:rsid w:val="000626FA"/>
    <w:rsid w:val="00063165"/>
    <w:rsid w:val="00065C9D"/>
    <w:rsid w:val="000668D4"/>
    <w:rsid w:val="00071A2B"/>
    <w:rsid w:val="000722CE"/>
    <w:rsid w:val="00076499"/>
    <w:rsid w:val="00077AD9"/>
    <w:rsid w:val="00081162"/>
    <w:rsid w:val="0008125C"/>
    <w:rsid w:val="00083370"/>
    <w:rsid w:val="00083D98"/>
    <w:rsid w:val="00084C50"/>
    <w:rsid w:val="00086B42"/>
    <w:rsid w:val="000942EB"/>
    <w:rsid w:val="000A25B4"/>
    <w:rsid w:val="000A6606"/>
    <w:rsid w:val="000B314A"/>
    <w:rsid w:val="000B347D"/>
    <w:rsid w:val="000B46C3"/>
    <w:rsid w:val="000C0757"/>
    <w:rsid w:val="000C1895"/>
    <w:rsid w:val="000C1F1B"/>
    <w:rsid w:val="000C2009"/>
    <w:rsid w:val="000C4503"/>
    <w:rsid w:val="000C4A33"/>
    <w:rsid w:val="000C7099"/>
    <w:rsid w:val="000C7664"/>
    <w:rsid w:val="000C7CA6"/>
    <w:rsid w:val="000D0E51"/>
    <w:rsid w:val="000E29A9"/>
    <w:rsid w:val="000E3C17"/>
    <w:rsid w:val="000E5261"/>
    <w:rsid w:val="000E7427"/>
    <w:rsid w:val="000F5C8C"/>
    <w:rsid w:val="001029D8"/>
    <w:rsid w:val="0010695C"/>
    <w:rsid w:val="0011092D"/>
    <w:rsid w:val="001125CD"/>
    <w:rsid w:val="001129EF"/>
    <w:rsid w:val="00112CFA"/>
    <w:rsid w:val="00113A3F"/>
    <w:rsid w:val="00113FB3"/>
    <w:rsid w:val="001151F0"/>
    <w:rsid w:val="001153DA"/>
    <w:rsid w:val="00115D17"/>
    <w:rsid w:val="001160B1"/>
    <w:rsid w:val="00121C74"/>
    <w:rsid w:val="001268F8"/>
    <w:rsid w:val="001272E3"/>
    <w:rsid w:val="0014329F"/>
    <w:rsid w:val="00144C07"/>
    <w:rsid w:val="00151638"/>
    <w:rsid w:val="00152006"/>
    <w:rsid w:val="00156192"/>
    <w:rsid w:val="00157380"/>
    <w:rsid w:val="00157467"/>
    <w:rsid w:val="001616E0"/>
    <w:rsid w:val="00162A96"/>
    <w:rsid w:val="00163448"/>
    <w:rsid w:val="001716F8"/>
    <w:rsid w:val="00176933"/>
    <w:rsid w:val="001808B7"/>
    <w:rsid w:val="00183C16"/>
    <w:rsid w:val="00193DBE"/>
    <w:rsid w:val="001942F6"/>
    <w:rsid w:val="00195DAD"/>
    <w:rsid w:val="00197C0D"/>
    <w:rsid w:val="001A24A6"/>
    <w:rsid w:val="001A6585"/>
    <w:rsid w:val="001A6E8B"/>
    <w:rsid w:val="001B129C"/>
    <w:rsid w:val="001B2327"/>
    <w:rsid w:val="001B2DBC"/>
    <w:rsid w:val="001B32DA"/>
    <w:rsid w:val="001B78C5"/>
    <w:rsid w:val="001B7D7C"/>
    <w:rsid w:val="001C04DF"/>
    <w:rsid w:val="001C2C27"/>
    <w:rsid w:val="001C3564"/>
    <w:rsid w:val="001C6E86"/>
    <w:rsid w:val="001D03E6"/>
    <w:rsid w:val="001D0791"/>
    <w:rsid w:val="001D1E7E"/>
    <w:rsid w:val="001D2DF6"/>
    <w:rsid w:val="001D34CE"/>
    <w:rsid w:val="001D3920"/>
    <w:rsid w:val="001D43F8"/>
    <w:rsid w:val="001E230F"/>
    <w:rsid w:val="001E316E"/>
    <w:rsid w:val="001E38CB"/>
    <w:rsid w:val="001F190C"/>
    <w:rsid w:val="001F25B2"/>
    <w:rsid w:val="001F38CB"/>
    <w:rsid w:val="00200490"/>
    <w:rsid w:val="00200E3A"/>
    <w:rsid w:val="00202B72"/>
    <w:rsid w:val="00204EA9"/>
    <w:rsid w:val="0020597E"/>
    <w:rsid w:val="00212FA3"/>
    <w:rsid w:val="00215834"/>
    <w:rsid w:val="00215F97"/>
    <w:rsid w:val="00225149"/>
    <w:rsid w:val="0022699E"/>
    <w:rsid w:val="00226BE2"/>
    <w:rsid w:val="002276E6"/>
    <w:rsid w:val="00227993"/>
    <w:rsid w:val="00227AD1"/>
    <w:rsid w:val="00230132"/>
    <w:rsid w:val="00237006"/>
    <w:rsid w:val="002374BA"/>
    <w:rsid w:val="00237892"/>
    <w:rsid w:val="0024493F"/>
    <w:rsid w:val="00244CE6"/>
    <w:rsid w:val="002457E3"/>
    <w:rsid w:val="00245F90"/>
    <w:rsid w:val="00253052"/>
    <w:rsid w:val="0025374F"/>
    <w:rsid w:val="00253FE7"/>
    <w:rsid w:val="00257470"/>
    <w:rsid w:val="00261328"/>
    <w:rsid w:val="00264A24"/>
    <w:rsid w:val="00265A36"/>
    <w:rsid w:val="00266AB1"/>
    <w:rsid w:val="002701B8"/>
    <w:rsid w:val="00271833"/>
    <w:rsid w:val="00272E63"/>
    <w:rsid w:val="0027714E"/>
    <w:rsid w:val="0028030C"/>
    <w:rsid w:val="00283DBF"/>
    <w:rsid w:val="0028411C"/>
    <w:rsid w:val="00293109"/>
    <w:rsid w:val="00296E22"/>
    <w:rsid w:val="00296E55"/>
    <w:rsid w:val="0029727E"/>
    <w:rsid w:val="002A0AE0"/>
    <w:rsid w:val="002A20A6"/>
    <w:rsid w:val="002A7D75"/>
    <w:rsid w:val="002B009D"/>
    <w:rsid w:val="002B0284"/>
    <w:rsid w:val="002B1DF3"/>
    <w:rsid w:val="002B3855"/>
    <w:rsid w:val="002B48A8"/>
    <w:rsid w:val="002B64B7"/>
    <w:rsid w:val="002C011B"/>
    <w:rsid w:val="002C16D9"/>
    <w:rsid w:val="002C2B69"/>
    <w:rsid w:val="002C3837"/>
    <w:rsid w:val="002C3B0C"/>
    <w:rsid w:val="002C4CD2"/>
    <w:rsid w:val="002C4DDA"/>
    <w:rsid w:val="002C6978"/>
    <w:rsid w:val="002D4AF7"/>
    <w:rsid w:val="002E2591"/>
    <w:rsid w:val="002E3D22"/>
    <w:rsid w:val="002E54AF"/>
    <w:rsid w:val="002E7B46"/>
    <w:rsid w:val="002F35F7"/>
    <w:rsid w:val="002F4E40"/>
    <w:rsid w:val="002F5C51"/>
    <w:rsid w:val="0030455B"/>
    <w:rsid w:val="00307014"/>
    <w:rsid w:val="003070F6"/>
    <w:rsid w:val="00310690"/>
    <w:rsid w:val="00312168"/>
    <w:rsid w:val="00315BD6"/>
    <w:rsid w:val="00327FC8"/>
    <w:rsid w:val="00335861"/>
    <w:rsid w:val="00336A39"/>
    <w:rsid w:val="003403ED"/>
    <w:rsid w:val="0035072A"/>
    <w:rsid w:val="003538D0"/>
    <w:rsid w:val="003572B9"/>
    <w:rsid w:val="00360293"/>
    <w:rsid w:val="0036298F"/>
    <w:rsid w:val="00363BA3"/>
    <w:rsid w:val="003718B7"/>
    <w:rsid w:val="00371954"/>
    <w:rsid w:val="0037287E"/>
    <w:rsid w:val="003744AA"/>
    <w:rsid w:val="0037508D"/>
    <w:rsid w:val="003776A2"/>
    <w:rsid w:val="00380881"/>
    <w:rsid w:val="003822B4"/>
    <w:rsid w:val="00382575"/>
    <w:rsid w:val="003825C0"/>
    <w:rsid w:val="003832EE"/>
    <w:rsid w:val="0038418D"/>
    <w:rsid w:val="00384B79"/>
    <w:rsid w:val="00384C2D"/>
    <w:rsid w:val="00387B05"/>
    <w:rsid w:val="00390C77"/>
    <w:rsid w:val="00391316"/>
    <w:rsid w:val="00391419"/>
    <w:rsid w:val="00393CF8"/>
    <w:rsid w:val="00394D13"/>
    <w:rsid w:val="00394E6A"/>
    <w:rsid w:val="00397CA8"/>
    <w:rsid w:val="003A0AC6"/>
    <w:rsid w:val="003A0E72"/>
    <w:rsid w:val="003A37F0"/>
    <w:rsid w:val="003A5087"/>
    <w:rsid w:val="003B0484"/>
    <w:rsid w:val="003B228B"/>
    <w:rsid w:val="003B3110"/>
    <w:rsid w:val="003B605A"/>
    <w:rsid w:val="003B6C14"/>
    <w:rsid w:val="003B78D8"/>
    <w:rsid w:val="003C2A8E"/>
    <w:rsid w:val="003C3856"/>
    <w:rsid w:val="003C3FEC"/>
    <w:rsid w:val="003C6020"/>
    <w:rsid w:val="003C63EE"/>
    <w:rsid w:val="003C6AAC"/>
    <w:rsid w:val="003D26D9"/>
    <w:rsid w:val="003D2A3D"/>
    <w:rsid w:val="003E2B2F"/>
    <w:rsid w:val="003E3BB2"/>
    <w:rsid w:val="003E54AB"/>
    <w:rsid w:val="003E5C16"/>
    <w:rsid w:val="003E5D96"/>
    <w:rsid w:val="003E5FC1"/>
    <w:rsid w:val="003E6A03"/>
    <w:rsid w:val="003E7832"/>
    <w:rsid w:val="003F5AE5"/>
    <w:rsid w:val="00400F71"/>
    <w:rsid w:val="00403A63"/>
    <w:rsid w:val="0040450D"/>
    <w:rsid w:val="00407FCF"/>
    <w:rsid w:val="00414FDE"/>
    <w:rsid w:val="00417A88"/>
    <w:rsid w:val="00421526"/>
    <w:rsid w:val="00423A82"/>
    <w:rsid w:val="00423DB2"/>
    <w:rsid w:val="00424438"/>
    <w:rsid w:val="00425EB4"/>
    <w:rsid w:val="00430AB2"/>
    <w:rsid w:val="00432AAB"/>
    <w:rsid w:val="0043363D"/>
    <w:rsid w:val="004369C1"/>
    <w:rsid w:val="00436EB4"/>
    <w:rsid w:val="00440882"/>
    <w:rsid w:val="00441F71"/>
    <w:rsid w:val="00443D2C"/>
    <w:rsid w:val="00445D07"/>
    <w:rsid w:val="00445EF4"/>
    <w:rsid w:val="004475E1"/>
    <w:rsid w:val="004511DF"/>
    <w:rsid w:val="00453DFB"/>
    <w:rsid w:val="0045567B"/>
    <w:rsid w:val="004600B2"/>
    <w:rsid w:val="0046041D"/>
    <w:rsid w:val="00465CFE"/>
    <w:rsid w:val="00475FAC"/>
    <w:rsid w:val="0048037B"/>
    <w:rsid w:val="004804E7"/>
    <w:rsid w:val="00486F44"/>
    <w:rsid w:val="00491080"/>
    <w:rsid w:val="0049162B"/>
    <w:rsid w:val="0049236E"/>
    <w:rsid w:val="00493CD2"/>
    <w:rsid w:val="004945C1"/>
    <w:rsid w:val="00494F11"/>
    <w:rsid w:val="0049707B"/>
    <w:rsid w:val="004A03DC"/>
    <w:rsid w:val="004A2193"/>
    <w:rsid w:val="004A2958"/>
    <w:rsid w:val="004A2DB8"/>
    <w:rsid w:val="004A418E"/>
    <w:rsid w:val="004A467E"/>
    <w:rsid w:val="004A5E73"/>
    <w:rsid w:val="004C1F6B"/>
    <w:rsid w:val="004C2973"/>
    <w:rsid w:val="004C32A7"/>
    <w:rsid w:val="004C3B35"/>
    <w:rsid w:val="004C7CD8"/>
    <w:rsid w:val="004D0F2A"/>
    <w:rsid w:val="004D1459"/>
    <w:rsid w:val="004D2AB5"/>
    <w:rsid w:val="004D4214"/>
    <w:rsid w:val="004D49EC"/>
    <w:rsid w:val="004D62CB"/>
    <w:rsid w:val="004E0FCE"/>
    <w:rsid w:val="004E1EAF"/>
    <w:rsid w:val="004E3EF3"/>
    <w:rsid w:val="004E4018"/>
    <w:rsid w:val="004F1EAF"/>
    <w:rsid w:val="004F281D"/>
    <w:rsid w:val="004F33D8"/>
    <w:rsid w:val="004F4FDF"/>
    <w:rsid w:val="004F6752"/>
    <w:rsid w:val="004F69FD"/>
    <w:rsid w:val="004F7D4C"/>
    <w:rsid w:val="00502ABC"/>
    <w:rsid w:val="00503D76"/>
    <w:rsid w:val="0050427C"/>
    <w:rsid w:val="0051045D"/>
    <w:rsid w:val="00511188"/>
    <w:rsid w:val="00511390"/>
    <w:rsid w:val="00513AB1"/>
    <w:rsid w:val="00513E7B"/>
    <w:rsid w:val="00514688"/>
    <w:rsid w:val="005156C4"/>
    <w:rsid w:val="00520782"/>
    <w:rsid w:val="00522ED6"/>
    <w:rsid w:val="005258F2"/>
    <w:rsid w:val="005275B9"/>
    <w:rsid w:val="00530DE6"/>
    <w:rsid w:val="005317CA"/>
    <w:rsid w:val="00532344"/>
    <w:rsid w:val="00534D6C"/>
    <w:rsid w:val="00535EC5"/>
    <w:rsid w:val="00541013"/>
    <w:rsid w:val="00546E0C"/>
    <w:rsid w:val="00556F91"/>
    <w:rsid w:val="0055771A"/>
    <w:rsid w:val="0056079B"/>
    <w:rsid w:val="0056158D"/>
    <w:rsid w:val="00562B00"/>
    <w:rsid w:val="005658FF"/>
    <w:rsid w:val="0056665C"/>
    <w:rsid w:val="00570C4A"/>
    <w:rsid w:val="005720A6"/>
    <w:rsid w:val="00573B4E"/>
    <w:rsid w:val="00574CD2"/>
    <w:rsid w:val="00574ECF"/>
    <w:rsid w:val="005757CC"/>
    <w:rsid w:val="00575937"/>
    <w:rsid w:val="005770E4"/>
    <w:rsid w:val="00577E59"/>
    <w:rsid w:val="00580274"/>
    <w:rsid w:val="00582E2A"/>
    <w:rsid w:val="00585349"/>
    <w:rsid w:val="00590664"/>
    <w:rsid w:val="00590920"/>
    <w:rsid w:val="00590FC3"/>
    <w:rsid w:val="00591E5C"/>
    <w:rsid w:val="0059244A"/>
    <w:rsid w:val="005970A0"/>
    <w:rsid w:val="005A22BD"/>
    <w:rsid w:val="005A2C67"/>
    <w:rsid w:val="005A3704"/>
    <w:rsid w:val="005A623D"/>
    <w:rsid w:val="005B0E8C"/>
    <w:rsid w:val="005B204D"/>
    <w:rsid w:val="005B220B"/>
    <w:rsid w:val="005B259C"/>
    <w:rsid w:val="005B277A"/>
    <w:rsid w:val="005B3B18"/>
    <w:rsid w:val="005C1117"/>
    <w:rsid w:val="005C1E7B"/>
    <w:rsid w:val="005C1F3E"/>
    <w:rsid w:val="005C2485"/>
    <w:rsid w:val="005C393C"/>
    <w:rsid w:val="005D09CC"/>
    <w:rsid w:val="005D1709"/>
    <w:rsid w:val="005D2002"/>
    <w:rsid w:val="005D460F"/>
    <w:rsid w:val="005E1FA4"/>
    <w:rsid w:val="005E249A"/>
    <w:rsid w:val="005E43C2"/>
    <w:rsid w:val="005E60BC"/>
    <w:rsid w:val="005F0A38"/>
    <w:rsid w:val="005F1DF9"/>
    <w:rsid w:val="005F43A8"/>
    <w:rsid w:val="005F550B"/>
    <w:rsid w:val="005F6F7C"/>
    <w:rsid w:val="00600A3C"/>
    <w:rsid w:val="00602C6F"/>
    <w:rsid w:val="00604FF1"/>
    <w:rsid w:val="006108AA"/>
    <w:rsid w:val="0061372C"/>
    <w:rsid w:val="0061400F"/>
    <w:rsid w:val="006148A3"/>
    <w:rsid w:val="00615224"/>
    <w:rsid w:val="006168DA"/>
    <w:rsid w:val="00616978"/>
    <w:rsid w:val="00616D9D"/>
    <w:rsid w:val="00617289"/>
    <w:rsid w:val="00617D6A"/>
    <w:rsid w:val="0062369D"/>
    <w:rsid w:val="00631137"/>
    <w:rsid w:val="00631742"/>
    <w:rsid w:val="00631B57"/>
    <w:rsid w:val="00632405"/>
    <w:rsid w:val="0063251D"/>
    <w:rsid w:val="00632ED1"/>
    <w:rsid w:val="00633086"/>
    <w:rsid w:val="00635056"/>
    <w:rsid w:val="00636F1B"/>
    <w:rsid w:val="00641492"/>
    <w:rsid w:val="0064322E"/>
    <w:rsid w:val="00647B96"/>
    <w:rsid w:val="00647F38"/>
    <w:rsid w:val="00652259"/>
    <w:rsid w:val="00653A89"/>
    <w:rsid w:val="00653C3C"/>
    <w:rsid w:val="00654251"/>
    <w:rsid w:val="006559C8"/>
    <w:rsid w:val="00657FCE"/>
    <w:rsid w:val="0066357A"/>
    <w:rsid w:val="00666C63"/>
    <w:rsid w:val="00667978"/>
    <w:rsid w:val="006735C0"/>
    <w:rsid w:val="00680DB7"/>
    <w:rsid w:val="0068252C"/>
    <w:rsid w:val="00682A33"/>
    <w:rsid w:val="006830AB"/>
    <w:rsid w:val="00683696"/>
    <w:rsid w:val="00683EBD"/>
    <w:rsid w:val="006900DD"/>
    <w:rsid w:val="0069489B"/>
    <w:rsid w:val="006A663E"/>
    <w:rsid w:val="006B0034"/>
    <w:rsid w:val="006B073F"/>
    <w:rsid w:val="006B303C"/>
    <w:rsid w:val="006B5593"/>
    <w:rsid w:val="006B5DC7"/>
    <w:rsid w:val="006C24DF"/>
    <w:rsid w:val="006C2B16"/>
    <w:rsid w:val="006C2D93"/>
    <w:rsid w:val="006C3B5D"/>
    <w:rsid w:val="006C4CB9"/>
    <w:rsid w:val="006C6371"/>
    <w:rsid w:val="006D5C29"/>
    <w:rsid w:val="006D5E21"/>
    <w:rsid w:val="006D608B"/>
    <w:rsid w:val="006D7BC6"/>
    <w:rsid w:val="006E13FC"/>
    <w:rsid w:val="006E3699"/>
    <w:rsid w:val="006E36D4"/>
    <w:rsid w:val="006E400A"/>
    <w:rsid w:val="006E4A95"/>
    <w:rsid w:val="006E5921"/>
    <w:rsid w:val="006E791D"/>
    <w:rsid w:val="006F0CEE"/>
    <w:rsid w:val="006F0FA7"/>
    <w:rsid w:val="007006BB"/>
    <w:rsid w:val="00704150"/>
    <w:rsid w:val="0070553C"/>
    <w:rsid w:val="007058D8"/>
    <w:rsid w:val="00713512"/>
    <w:rsid w:val="007138C1"/>
    <w:rsid w:val="00720790"/>
    <w:rsid w:val="0072400A"/>
    <w:rsid w:val="00724F50"/>
    <w:rsid w:val="0073000B"/>
    <w:rsid w:val="00730D2C"/>
    <w:rsid w:val="00731B52"/>
    <w:rsid w:val="00733928"/>
    <w:rsid w:val="007369D7"/>
    <w:rsid w:val="007375EF"/>
    <w:rsid w:val="00741440"/>
    <w:rsid w:val="00741CEE"/>
    <w:rsid w:val="00742CB2"/>
    <w:rsid w:val="00745BA7"/>
    <w:rsid w:val="0074660F"/>
    <w:rsid w:val="007550B7"/>
    <w:rsid w:val="00756CAA"/>
    <w:rsid w:val="0075713A"/>
    <w:rsid w:val="007609D3"/>
    <w:rsid w:val="00764582"/>
    <w:rsid w:val="00764B28"/>
    <w:rsid w:val="007653F7"/>
    <w:rsid w:val="007701A1"/>
    <w:rsid w:val="00770378"/>
    <w:rsid w:val="007734DF"/>
    <w:rsid w:val="00773F0B"/>
    <w:rsid w:val="00784DC1"/>
    <w:rsid w:val="00792371"/>
    <w:rsid w:val="007947D1"/>
    <w:rsid w:val="00796F00"/>
    <w:rsid w:val="007A1410"/>
    <w:rsid w:val="007A247F"/>
    <w:rsid w:val="007A2E0E"/>
    <w:rsid w:val="007A35EB"/>
    <w:rsid w:val="007A67BD"/>
    <w:rsid w:val="007A7A9E"/>
    <w:rsid w:val="007A7DC9"/>
    <w:rsid w:val="007B5CE8"/>
    <w:rsid w:val="007B7890"/>
    <w:rsid w:val="007C11DC"/>
    <w:rsid w:val="007C221F"/>
    <w:rsid w:val="007C243A"/>
    <w:rsid w:val="007C36AC"/>
    <w:rsid w:val="007D0B65"/>
    <w:rsid w:val="007D3A50"/>
    <w:rsid w:val="007D64E9"/>
    <w:rsid w:val="007D6955"/>
    <w:rsid w:val="007D7FED"/>
    <w:rsid w:val="007E2C12"/>
    <w:rsid w:val="007E799C"/>
    <w:rsid w:val="007F2435"/>
    <w:rsid w:val="007F3147"/>
    <w:rsid w:val="007F3BC2"/>
    <w:rsid w:val="007F3DD4"/>
    <w:rsid w:val="007F44FD"/>
    <w:rsid w:val="007F4F3F"/>
    <w:rsid w:val="00803F6F"/>
    <w:rsid w:val="00810814"/>
    <w:rsid w:val="00810AA0"/>
    <w:rsid w:val="00811008"/>
    <w:rsid w:val="00813A7C"/>
    <w:rsid w:val="008166CF"/>
    <w:rsid w:val="00816E2E"/>
    <w:rsid w:val="00820E19"/>
    <w:rsid w:val="008215D4"/>
    <w:rsid w:val="008220C2"/>
    <w:rsid w:val="008266C4"/>
    <w:rsid w:val="008274D2"/>
    <w:rsid w:val="0083288A"/>
    <w:rsid w:val="00832DD7"/>
    <w:rsid w:val="0083394F"/>
    <w:rsid w:val="008354DE"/>
    <w:rsid w:val="00837A26"/>
    <w:rsid w:val="00840333"/>
    <w:rsid w:val="00841DED"/>
    <w:rsid w:val="00842E01"/>
    <w:rsid w:val="008451BA"/>
    <w:rsid w:val="00845C3B"/>
    <w:rsid w:val="00845F8A"/>
    <w:rsid w:val="00845FA1"/>
    <w:rsid w:val="00847729"/>
    <w:rsid w:val="0085063B"/>
    <w:rsid w:val="008536EA"/>
    <w:rsid w:val="00856CF7"/>
    <w:rsid w:val="00857192"/>
    <w:rsid w:val="00857793"/>
    <w:rsid w:val="00864895"/>
    <w:rsid w:val="008665DD"/>
    <w:rsid w:val="0086717A"/>
    <w:rsid w:val="00870DE1"/>
    <w:rsid w:val="0087277D"/>
    <w:rsid w:val="00872E10"/>
    <w:rsid w:val="0087568F"/>
    <w:rsid w:val="00876001"/>
    <w:rsid w:val="00882EF6"/>
    <w:rsid w:val="00883441"/>
    <w:rsid w:val="00890F24"/>
    <w:rsid w:val="0089347B"/>
    <w:rsid w:val="0089463A"/>
    <w:rsid w:val="0089743E"/>
    <w:rsid w:val="008978A0"/>
    <w:rsid w:val="008A3F33"/>
    <w:rsid w:val="008A603A"/>
    <w:rsid w:val="008A69B5"/>
    <w:rsid w:val="008A7244"/>
    <w:rsid w:val="008B37F6"/>
    <w:rsid w:val="008B5403"/>
    <w:rsid w:val="008C0727"/>
    <w:rsid w:val="008C1081"/>
    <w:rsid w:val="008C2412"/>
    <w:rsid w:val="008C68D1"/>
    <w:rsid w:val="008D0383"/>
    <w:rsid w:val="008D1A8F"/>
    <w:rsid w:val="008D2E30"/>
    <w:rsid w:val="008D3453"/>
    <w:rsid w:val="008D3D31"/>
    <w:rsid w:val="008D4308"/>
    <w:rsid w:val="008E0DAB"/>
    <w:rsid w:val="008E2BFC"/>
    <w:rsid w:val="008F0564"/>
    <w:rsid w:val="008F1A79"/>
    <w:rsid w:val="008F2446"/>
    <w:rsid w:val="008F262B"/>
    <w:rsid w:val="008F330B"/>
    <w:rsid w:val="008F77F6"/>
    <w:rsid w:val="0090049F"/>
    <w:rsid w:val="009008AA"/>
    <w:rsid w:val="00902BD2"/>
    <w:rsid w:val="00904141"/>
    <w:rsid w:val="0090482F"/>
    <w:rsid w:val="009134F0"/>
    <w:rsid w:val="00915EC4"/>
    <w:rsid w:val="00916401"/>
    <w:rsid w:val="00916EE9"/>
    <w:rsid w:val="009300D3"/>
    <w:rsid w:val="009315F7"/>
    <w:rsid w:val="00931AEE"/>
    <w:rsid w:val="009340C5"/>
    <w:rsid w:val="0093495C"/>
    <w:rsid w:val="00935CDE"/>
    <w:rsid w:val="009366F5"/>
    <w:rsid w:val="009369FE"/>
    <w:rsid w:val="00942E4F"/>
    <w:rsid w:val="00944903"/>
    <w:rsid w:val="00946879"/>
    <w:rsid w:val="009479F7"/>
    <w:rsid w:val="00952319"/>
    <w:rsid w:val="0095529E"/>
    <w:rsid w:val="00955A00"/>
    <w:rsid w:val="0096168D"/>
    <w:rsid w:val="0096205B"/>
    <w:rsid w:val="0096747B"/>
    <w:rsid w:val="009705F5"/>
    <w:rsid w:val="00970A7E"/>
    <w:rsid w:val="0097475D"/>
    <w:rsid w:val="009758E5"/>
    <w:rsid w:val="00975E6F"/>
    <w:rsid w:val="00977888"/>
    <w:rsid w:val="00977FAE"/>
    <w:rsid w:val="00981024"/>
    <w:rsid w:val="00982F98"/>
    <w:rsid w:val="0098348B"/>
    <w:rsid w:val="009834F3"/>
    <w:rsid w:val="009908C6"/>
    <w:rsid w:val="00991608"/>
    <w:rsid w:val="0099222F"/>
    <w:rsid w:val="00994679"/>
    <w:rsid w:val="00995CCC"/>
    <w:rsid w:val="009969E5"/>
    <w:rsid w:val="009A1C78"/>
    <w:rsid w:val="009A3A54"/>
    <w:rsid w:val="009A5FB2"/>
    <w:rsid w:val="009A6A4C"/>
    <w:rsid w:val="009B3C2E"/>
    <w:rsid w:val="009B46DD"/>
    <w:rsid w:val="009B5A68"/>
    <w:rsid w:val="009B6E96"/>
    <w:rsid w:val="009C7CDF"/>
    <w:rsid w:val="009D2053"/>
    <w:rsid w:val="009D308E"/>
    <w:rsid w:val="009D3AC9"/>
    <w:rsid w:val="009D789B"/>
    <w:rsid w:val="009E3266"/>
    <w:rsid w:val="009E35A3"/>
    <w:rsid w:val="009E5B49"/>
    <w:rsid w:val="009E660F"/>
    <w:rsid w:val="009F24A2"/>
    <w:rsid w:val="009F2C1B"/>
    <w:rsid w:val="009F4C61"/>
    <w:rsid w:val="009F5803"/>
    <w:rsid w:val="009F5E4E"/>
    <w:rsid w:val="009F673A"/>
    <w:rsid w:val="009F7373"/>
    <w:rsid w:val="00A060E4"/>
    <w:rsid w:val="00A06B51"/>
    <w:rsid w:val="00A071CC"/>
    <w:rsid w:val="00A075D4"/>
    <w:rsid w:val="00A14E34"/>
    <w:rsid w:val="00A17813"/>
    <w:rsid w:val="00A17B13"/>
    <w:rsid w:val="00A2265C"/>
    <w:rsid w:val="00A23F12"/>
    <w:rsid w:val="00A311CD"/>
    <w:rsid w:val="00A31F09"/>
    <w:rsid w:val="00A33FEC"/>
    <w:rsid w:val="00A340CF"/>
    <w:rsid w:val="00A34EAF"/>
    <w:rsid w:val="00A42C87"/>
    <w:rsid w:val="00A462CC"/>
    <w:rsid w:val="00A465B6"/>
    <w:rsid w:val="00A4709D"/>
    <w:rsid w:val="00A522AA"/>
    <w:rsid w:val="00A55785"/>
    <w:rsid w:val="00A55C6B"/>
    <w:rsid w:val="00A5737D"/>
    <w:rsid w:val="00A62352"/>
    <w:rsid w:val="00A63E50"/>
    <w:rsid w:val="00A63E81"/>
    <w:rsid w:val="00A63EA1"/>
    <w:rsid w:val="00A643C0"/>
    <w:rsid w:val="00A658BE"/>
    <w:rsid w:val="00A65BA6"/>
    <w:rsid w:val="00A707CC"/>
    <w:rsid w:val="00A712CF"/>
    <w:rsid w:val="00A72DF7"/>
    <w:rsid w:val="00A739E4"/>
    <w:rsid w:val="00A73DF7"/>
    <w:rsid w:val="00A74F3B"/>
    <w:rsid w:val="00A7729A"/>
    <w:rsid w:val="00A773C9"/>
    <w:rsid w:val="00A8213E"/>
    <w:rsid w:val="00A8463A"/>
    <w:rsid w:val="00A86A3D"/>
    <w:rsid w:val="00A916E4"/>
    <w:rsid w:val="00A91EAC"/>
    <w:rsid w:val="00A97D47"/>
    <w:rsid w:val="00AA38A4"/>
    <w:rsid w:val="00AA5DA0"/>
    <w:rsid w:val="00AA6A69"/>
    <w:rsid w:val="00AB1A6C"/>
    <w:rsid w:val="00AB309D"/>
    <w:rsid w:val="00AB3E70"/>
    <w:rsid w:val="00AC2E42"/>
    <w:rsid w:val="00AC5E4F"/>
    <w:rsid w:val="00AD4736"/>
    <w:rsid w:val="00AD53F5"/>
    <w:rsid w:val="00AD5458"/>
    <w:rsid w:val="00AD5A0A"/>
    <w:rsid w:val="00AD68AD"/>
    <w:rsid w:val="00AD6A19"/>
    <w:rsid w:val="00AE02E9"/>
    <w:rsid w:val="00AE0517"/>
    <w:rsid w:val="00AE06BD"/>
    <w:rsid w:val="00AE1D0E"/>
    <w:rsid w:val="00AF07DE"/>
    <w:rsid w:val="00AF1AA7"/>
    <w:rsid w:val="00AF29CD"/>
    <w:rsid w:val="00AF3A52"/>
    <w:rsid w:val="00AF53D9"/>
    <w:rsid w:val="00AF5578"/>
    <w:rsid w:val="00AF7813"/>
    <w:rsid w:val="00B00B36"/>
    <w:rsid w:val="00B0693D"/>
    <w:rsid w:val="00B06CFD"/>
    <w:rsid w:val="00B0750E"/>
    <w:rsid w:val="00B120CD"/>
    <w:rsid w:val="00B13622"/>
    <w:rsid w:val="00B1657A"/>
    <w:rsid w:val="00B220C2"/>
    <w:rsid w:val="00B24836"/>
    <w:rsid w:val="00B250B8"/>
    <w:rsid w:val="00B26E0F"/>
    <w:rsid w:val="00B3172E"/>
    <w:rsid w:val="00B345DF"/>
    <w:rsid w:val="00B34A3E"/>
    <w:rsid w:val="00B34FFB"/>
    <w:rsid w:val="00B378E5"/>
    <w:rsid w:val="00B41026"/>
    <w:rsid w:val="00B413FF"/>
    <w:rsid w:val="00B4503E"/>
    <w:rsid w:val="00B452DA"/>
    <w:rsid w:val="00B46F42"/>
    <w:rsid w:val="00B47C00"/>
    <w:rsid w:val="00B50453"/>
    <w:rsid w:val="00B50BAE"/>
    <w:rsid w:val="00B54D9C"/>
    <w:rsid w:val="00B56541"/>
    <w:rsid w:val="00B56E53"/>
    <w:rsid w:val="00B56E6F"/>
    <w:rsid w:val="00B571C0"/>
    <w:rsid w:val="00B60C33"/>
    <w:rsid w:val="00B62251"/>
    <w:rsid w:val="00B63243"/>
    <w:rsid w:val="00B659E7"/>
    <w:rsid w:val="00B65B0D"/>
    <w:rsid w:val="00B65CC8"/>
    <w:rsid w:val="00B6729E"/>
    <w:rsid w:val="00B702E9"/>
    <w:rsid w:val="00B75958"/>
    <w:rsid w:val="00B77AB3"/>
    <w:rsid w:val="00B77FA6"/>
    <w:rsid w:val="00B844AE"/>
    <w:rsid w:val="00B85160"/>
    <w:rsid w:val="00B859BB"/>
    <w:rsid w:val="00B86FBA"/>
    <w:rsid w:val="00B93D21"/>
    <w:rsid w:val="00BA1B72"/>
    <w:rsid w:val="00BA2EE8"/>
    <w:rsid w:val="00BA5943"/>
    <w:rsid w:val="00BB129B"/>
    <w:rsid w:val="00BB2B4B"/>
    <w:rsid w:val="00BB524A"/>
    <w:rsid w:val="00BB5EF6"/>
    <w:rsid w:val="00BC16E3"/>
    <w:rsid w:val="00BC383C"/>
    <w:rsid w:val="00BC7C90"/>
    <w:rsid w:val="00BD04E9"/>
    <w:rsid w:val="00BD1CDF"/>
    <w:rsid w:val="00BD3F09"/>
    <w:rsid w:val="00BD43E5"/>
    <w:rsid w:val="00BD5025"/>
    <w:rsid w:val="00BD6332"/>
    <w:rsid w:val="00BE03ED"/>
    <w:rsid w:val="00BE0B5C"/>
    <w:rsid w:val="00BE4135"/>
    <w:rsid w:val="00BE5591"/>
    <w:rsid w:val="00BE5DED"/>
    <w:rsid w:val="00BE65DF"/>
    <w:rsid w:val="00BF0A10"/>
    <w:rsid w:val="00BF106C"/>
    <w:rsid w:val="00BF112D"/>
    <w:rsid w:val="00BF3D00"/>
    <w:rsid w:val="00BF4D4F"/>
    <w:rsid w:val="00BF715D"/>
    <w:rsid w:val="00C04FC3"/>
    <w:rsid w:val="00C100F3"/>
    <w:rsid w:val="00C10AD2"/>
    <w:rsid w:val="00C1136C"/>
    <w:rsid w:val="00C12F55"/>
    <w:rsid w:val="00C14C28"/>
    <w:rsid w:val="00C15EB2"/>
    <w:rsid w:val="00C16189"/>
    <w:rsid w:val="00C16518"/>
    <w:rsid w:val="00C226FC"/>
    <w:rsid w:val="00C26D21"/>
    <w:rsid w:val="00C307C8"/>
    <w:rsid w:val="00C33A80"/>
    <w:rsid w:val="00C40669"/>
    <w:rsid w:val="00C41422"/>
    <w:rsid w:val="00C42228"/>
    <w:rsid w:val="00C42C24"/>
    <w:rsid w:val="00C42D67"/>
    <w:rsid w:val="00C51755"/>
    <w:rsid w:val="00C52863"/>
    <w:rsid w:val="00C5725C"/>
    <w:rsid w:val="00C60EAF"/>
    <w:rsid w:val="00C64E14"/>
    <w:rsid w:val="00C65EDE"/>
    <w:rsid w:val="00C67FA2"/>
    <w:rsid w:val="00C7019E"/>
    <w:rsid w:val="00C7042A"/>
    <w:rsid w:val="00C72E8E"/>
    <w:rsid w:val="00C75C9F"/>
    <w:rsid w:val="00C7705A"/>
    <w:rsid w:val="00C817C9"/>
    <w:rsid w:val="00C84329"/>
    <w:rsid w:val="00C90AE6"/>
    <w:rsid w:val="00C95C0A"/>
    <w:rsid w:val="00C96EEE"/>
    <w:rsid w:val="00CA1DD6"/>
    <w:rsid w:val="00CB177F"/>
    <w:rsid w:val="00CB1E71"/>
    <w:rsid w:val="00CB2D2F"/>
    <w:rsid w:val="00CB4648"/>
    <w:rsid w:val="00CB52DF"/>
    <w:rsid w:val="00CC175F"/>
    <w:rsid w:val="00CC17C9"/>
    <w:rsid w:val="00CC370F"/>
    <w:rsid w:val="00CC5066"/>
    <w:rsid w:val="00CC7432"/>
    <w:rsid w:val="00CC7E3F"/>
    <w:rsid w:val="00CD48FE"/>
    <w:rsid w:val="00CD5928"/>
    <w:rsid w:val="00CD6EDC"/>
    <w:rsid w:val="00CE1416"/>
    <w:rsid w:val="00CF1B0D"/>
    <w:rsid w:val="00CF6180"/>
    <w:rsid w:val="00CF7073"/>
    <w:rsid w:val="00D02186"/>
    <w:rsid w:val="00D152A4"/>
    <w:rsid w:val="00D1557C"/>
    <w:rsid w:val="00D17497"/>
    <w:rsid w:val="00D20F81"/>
    <w:rsid w:val="00D21023"/>
    <w:rsid w:val="00D26DED"/>
    <w:rsid w:val="00D31D67"/>
    <w:rsid w:val="00D320CE"/>
    <w:rsid w:val="00D32312"/>
    <w:rsid w:val="00D348EB"/>
    <w:rsid w:val="00D365EF"/>
    <w:rsid w:val="00D40848"/>
    <w:rsid w:val="00D42C79"/>
    <w:rsid w:val="00D432F2"/>
    <w:rsid w:val="00D46BDF"/>
    <w:rsid w:val="00D53EF7"/>
    <w:rsid w:val="00D616A3"/>
    <w:rsid w:val="00D62773"/>
    <w:rsid w:val="00D7140C"/>
    <w:rsid w:val="00D71DB6"/>
    <w:rsid w:val="00D7279E"/>
    <w:rsid w:val="00D743FC"/>
    <w:rsid w:val="00D76C0F"/>
    <w:rsid w:val="00D76E7E"/>
    <w:rsid w:val="00D77AC6"/>
    <w:rsid w:val="00D8084A"/>
    <w:rsid w:val="00D80858"/>
    <w:rsid w:val="00D81525"/>
    <w:rsid w:val="00D81D27"/>
    <w:rsid w:val="00D84B81"/>
    <w:rsid w:val="00D85C84"/>
    <w:rsid w:val="00D935A2"/>
    <w:rsid w:val="00D93EC5"/>
    <w:rsid w:val="00D9627F"/>
    <w:rsid w:val="00DA0398"/>
    <w:rsid w:val="00DA1A1F"/>
    <w:rsid w:val="00DA2FFB"/>
    <w:rsid w:val="00DA3A24"/>
    <w:rsid w:val="00DA5287"/>
    <w:rsid w:val="00DA5686"/>
    <w:rsid w:val="00DB0141"/>
    <w:rsid w:val="00DB0A59"/>
    <w:rsid w:val="00DB1B50"/>
    <w:rsid w:val="00DB2776"/>
    <w:rsid w:val="00DB326D"/>
    <w:rsid w:val="00DB545A"/>
    <w:rsid w:val="00DB5F9F"/>
    <w:rsid w:val="00DB7D79"/>
    <w:rsid w:val="00DB7EE9"/>
    <w:rsid w:val="00DC24FD"/>
    <w:rsid w:val="00DC4D74"/>
    <w:rsid w:val="00DC5FE9"/>
    <w:rsid w:val="00DC7643"/>
    <w:rsid w:val="00DC792A"/>
    <w:rsid w:val="00DD237A"/>
    <w:rsid w:val="00DD45B4"/>
    <w:rsid w:val="00DD76EA"/>
    <w:rsid w:val="00DE6014"/>
    <w:rsid w:val="00DE62AD"/>
    <w:rsid w:val="00DE6522"/>
    <w:rsid w:val="00DE7122"/>
    <w:rsid w:val="00DF4459"/>
    <w:rsid w:val="00E030A8"/>
    <w:rsid w:val="00E05D2E"/>
    <w:rsid w:val="00E071CD"/>
    <w:rsid w:val="00E076D0"/>
    <w:rsid w:val="00E1050B"/>
    <w:rsid w:val="00E10F2A"/>
    <w:rsid w:val="00E12009"/>
    <w:rsid w:val="00E152FF"/>
    <w:rsid w:val="00E15781"/>
    <w:rsid w:val="00E21915"/>
    <w:rsid w:val="00E23B8B"/>
    <w:rsid w:val="00E23CE7"/>
    <w:rsid w:val="00E254A5"/>
    <w:rsid w:val="00E27B5C"/>
    <w:rsid w:val="00E3018F"/>
    <w:rsid w:val="00E32A09"/>
    <w:rsid w:val="00E3679C"/>
    <w:rsid w:val="00E41A5B"/>
    <w:rsid w:val="00E44CF3"/>
    <w:rsid w:val="00E500B7"/>
    <w:rsid w:val="00E51DC7"/>
    <w:rsid w:val="00E562D3"/>
    <w:rsid w:val="00E56B01"/>
    <w:rsid w:val="00E57512"/>
    <w:rsid w:val="00E57BC0"/>
    <w:rsid w:val="00E57E19"/>
    <w:rsid w:val="00E636D4"/>
    <w:rsid w:val="00E64785"/>
    <w:rsid w:val="00E65AC9"/>
    <w:rsid w:val="00E70BAB"/>
    <w:rsid w:val="00E70D2C"/>
    <w:rsid w:val="00E7382A"/>
    <w:rsid w:val="00E7704B"/>
    <w:rsid w:val="00E8073F"/>
    <w:rsid w:val="00E82C93"/>
    <w:rsid w:val="00E83A72"/>
    <w:rsid w:val="00E8409C"/>
    <w:rsid w:val="00E87A37"/>
    <w:rsid w:val="00E9046F"/>
    <w:rsid w:val="00E907F0"/>
    <w:rsid w:val="00E90863"/>
    <w:rsid w:val="00E90B54"/>
    <w:rsid w:val="00E917DE"/>
    <w:rsid w:val="00E92F24"/>
    <w:rsid w:val="00E94BD8"/>
    <w:rsid w:val="00EA673A"/>
    <w:rsid w:val="00EB7070"/>
    <w:rsid w:val="00EC1384"/>
    <w:rsid w:val="00EC1804"/>
    <w:rsid w:val="00EC2224"/>
    <w:rsid w:val="00EC2802"/>
    <w:rsid w:val="00EC6CAE"/>
    <w:rsid w:val="00EC77E2"/>
    <w:rsid w:val="00ED1193"/>
    <w:rsid w:val="00ED4155"/>
    <w:rsid w:val="00ED4CD0"/>
    <w:rsid w:val="00EE2805"/>
    <w:rsid w:val="00EF6FB6"/>
    <w:rsid w:val="00EF74ED"/>
    <w:rsid w:val="00F0137B"/>
    <w:rsid w:val="00F01556"/>
    <w:rsid w:val="00F038F1"/>
    <w:rsid w:val="00F05174"/>
    <w:rsid w:val="00F07606"/>
    <w:rsid w:val="00F117E5"/>
    <w:rsid w:val="00F14EF2"/>
    <w:rsid w:val="00F24621"/>
    <w:rsid w:val="00F25E91"/>
    <w:rsid w:val="00F2660A"/>
    <w:rsid w:val="00F27FA8"/>
    <w:rsid w:val="00F30142"/>
    <w:rsid w:val="00F303A7"/>
    <w:rsid w:val="00F31DFD"/>
    <w:rsid w:val="00F323AC"/>
    <w:rsid w:val="00F4189F"/>
    <w:rsid w:val="00F4448B"/>
    <w:rsid w:val="00F44FB1"/>
    <w:rsid w:val="00F462C6"/>
    <w:rsid w:val="00F46740"/>
    <w:rsid w:val="00F51264"/>
    <w:rsid w:val="00F51DCA"/>
    <w:rsid w:val="00F554DB"/>
    <w:rsid w:val="00F55B42"/>
    <w:rsid w:val="00F56707"/>
    <w:rsid w:val="00F65F1B"/>
    <w:rsid w:val="00F66EAA"/>
    <w:rsid w:val="00F70BE6"/>
    <w:rsid w:val="00F71956"/>
    <w:rsid w:val="00F72B7E"/>
    <w:rsid w:val="00F75EA9"/>
    <w:rsid w:val="00F80830"/>
    <w:rsid w:val="00F81154"/>
    <w:rsid w:val="00F824E7"/>
    <w:rsid w:val="00F83E20"/>
    <w:rsid w:val="00F85F64"/>
    <w:rsid w:val="00F91844"/>
    <w:rsid w:val="00F939FC"/>
    <w:rsid w:val="00F93B55"/>
    <w:rsid w:val="00F96CF7"/>
    <w:rsid w:val="00FA3624"/>
    <w:rsid w:val="00FA5371"/>
    <w:rsid w:val="00FB2FAE"/>
    <w:rsid w:val="00FB4178"/>
    <w:rsid w:val="00FB42F1"/>
    <w:rsid w:val="00FC02BE"/>
    <w:rsid w:val="00FC3E9A"/>
    <w:rsid w:val="00FC47A3"/>
    <w:rsid w:val="00FC6A70"/>
    <w:rsid w:val="00FC6CA8"/>
    <w:rsid w:val="00FC6FE9"/>
    <w:rsid w:val="00FC7853"/>
    <w:rsid w:val="00FD28FA"/>
    <w:rsid w:val="00FD3566"/>
    <w:rsid w:val="00FD3BB5"/>
    <w:rsid w:val="00FD5BC1"/>
    <w:rsid w:val="00FE050F"/>
    <w:rsid w:val="00FE0D07"/>
    <w:rsid w:val="00FE19B5"/>
    <w:rsid w:val="00FE261D"/>
    <w:rsid w:val="00FE48C4"/>
    <w:rsid w:val="00FF342C"/>
    <w:rsid w:val="00FF71DF"/>
    <w:rsid w:val="00FF79C8"/>
    <w:rsid w:val="00FF7D3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6DFCB2"/>
  <w15:docId w15:val="{17B7F578-1CC0-4CD8-97EF-BB90B6CF9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77FAE"/>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9"/>
    <w:qFormat/>
    <w:rsid w:val="001160B1"/>
    <w:pPr>
      <w:keepNext/>
      <w:spacing w:before="240" w:after="60"/>
      <w:outlineLvl w:val="0"/>
    </w:pPr>
    <w:rPr>
      <w:rFonts w:ascii="Arial" w:eastAsia="SimSun" w:hAnsi="Arial" w:cs="Arial"/>
      <w:b/>
      <w:bCs/>
      <w:kern w:val="32"/>
      <w:sz w:val="32"/>
      <w:szCs w:val="32"/>
      <w:lang w:eastAsia="zh-CN"/>
    </w:rPr>
  </w:style>
  <w:style w:type="paragraph" w:styleId="Nadpis2">
    <w:name w:val="heading 2"/>
    <w:basedOn w:val="Normln"/>
    <w:next w:val="Normln"/>
    <w:link w:val="Nadpis2Char"/>
    <w:uiPriority w:val="99"/>
    <w:qFormat/>
    <w:rsid w:val="001160B1"/>
    <w:pPr>
      <w:keepNext/>
      <w:spacing w:before="240" w:after="60"/>
      <w:outlineLvl w:val="1"/>
    </w:pPr>
    <w:rPr>
      <w:rFonts w:ascii="Arial" w:eastAsia="SimSun" w:hAnsi="Arial" w:cs="Arial"/>
      <w:b/>
      <w:bCs/>
      <w:i/>
      <w:iCs/>
      <w:sz w:val="28"/>
      <w:szCs w:val="28"/>
      <w:lang w:eastAsia="zh-CN"/>
    </w:rPr>
  </w:style>
  <w:style w:type="paragraph" w:styleId="Nadpis3">
    <w:name w:val="heading 3"/>
    <w:basedOn w:val="Normln"/>
    <w:next w:val="Normln"/>
    <w:link w:val="Nadpis3Char"/>
    <w:uiPriority w:val="9"/>
    <w:semiHidden/>
    <w:unhideWhenUsed/>
    <w:qFormat/>
    <w:rsid w:val="00D616A3"/>
    <w:pPr>
      <w:keepNext/>
      <w:keepLines/>
      <w:spacing w:before="40"/>
      <w:outlineLvl w:val="2"/>
    </w:pPr>
    <w:rPr>
      <w:rFonts w:asciiTheme="majorHAnsi" w:eastAsiaTheme="majorEastAsia" w:hAnsiTheme="majorHAnsi" w:cstheme="majorBidi"/>
      <w:color w:val="243F60"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F77F6"/>
    <w:pPr>
      <w:tabs>
        <w:tab w:val="center" w:pos="4536"/>
        <w:tab w:val="right" w:pos="9072"/>
      </w:tabs>
    </w:pPr>
  </w:style>
  <w:style w:type="character" w:customStyle="1" w:styleId="ZhlavChar">
    <w:name w:val="Záhlaví Char"/>
    <w:basedOn w:val="Standardnpsmoodstavce"/>
    <w:link w:val="Zhlav"/>
    <w:uiPriority w:val="99"/>
    <w:rsid w:val="008F77F6"/>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8F77F6"/>
    <w:pPr>
      <w:tabs>
        <w:tab w:val="center" w:pos="4536"/>
        <w:tab w:val="right" w:pos="9072"/>
      </w:tabs>
    </w:pPr>
  </w:style>
  <w:style w:type="character" w:customStyle="1" w:styleId="ZpatChar">
    <w:name w:val="Zápatí Char"/>
    <w:basedOn w:val="Standardnpsmoodstavce"/>
    <w:link w:val="Zpat"/>
    <w:uiPriority w:val="99"/>
    <w:rsid w:val="008F77F6"/>
    <w:rPr>
      <w:rFonts w:ascii="Times New Roman" w:eastAsia="Times New Roman" w:hAnsi="Times New Roman" w:cs="Times New Roman"/>
      <w:sz w:val="24"/>
      <w:szCs w:val="24"/>
      <w:lang w:eastAsia="cs-CZ"/>
    </w:rPr>
  </w:style>
  <w:style w:type="paragraph" w:styleId="Nzev">
    <w:name w:val="Title"/>
    <w:basedOn w:val="Normln"/>
    <w:next w:val="Normln"/>
    <w:link w:val="NzevChar"/>
    <w:uiPriority w:val="10"/>
    <w:qFormat/>
    <w:rsid w:val="00CC370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CC370F"/>
    <w:rPr>
      <w:rFonts w:asciiTheme="majorHAnsi" w:eastAsiaTheme="majorEastAsia" w:hAnsiTheme="majorHAnsi" w:cstheme="majorBidi"/>
      <w:color w:val="17365D" w:themeColor="text2" w:themeShade="BF"/>
      <w:spacing w:val="5"/>
      <w:kern w:val="28"/>
      <w:sz w:val="52"/>
      <w:szCs w:val="52"/>
      <w:lang w:eastAsia="cs-CZ"/>
    </w:rPr>
  </w:style>
  <w:style w:type="paragraph" w:styleId="Textbubliny">
    <w:name w:val="Balloon Text"/>
    <w:basedOn w:val="Normln"/>
    <w:link w:val="TextbublinyChar"/>
    <w:uiPriority w:val="99"/>
    <w:semiHidden/>
    <w:unhideWhenUsed/>
    <w:rsid w:val="00CC370F"/>
    <w:rPr>
      <w:rFonts w:ascii="Tahoma" w:hAnsi="Tahoma" w:cs="Tahoma"/>
      <w:sz w:val="16"/>
      <w:szCs w:val="16"/>
    </w:rPr>
  </w:style>
  <w:style w:type="character" w:customStyle="1" w:styleId="TextbublinyChar">
    <w:name w:val="Text bubliny Char"/>
    <w:basedOn w:val="Standardnpsmoodstavce"/>
    <w:link w:val="Textbubliny"/>
    <w:uiPriority w:val="99"/>
    <w:semiHidden/>
    <w:rsid w:val="00CC370F"/>
    <w:rPr>
      <w:rFonts w:ascii="Tahoma" w:eastAsia="Times New Roman" w:hAnsi="Tahoma" w:cs="Tahoma"/>
      <w:sz w:val="16"/>
      <w:szCs w:val="16"/>
      <w:lang w:eastAsia="cs-CZ"/>
    </w:rPr>
  </w:style>
  <w:style w:type="table" w:styleId="Mkatabulky">
    <w:name w:val="Table Grid"/>
    <w:basedOn w:val="Normlntabulka"/>
    <w:uiPriority w:val="39"/>
    <w:rsid w:val="00265A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3E3BB2"/>
    <w:pPr>
      <w:ind w:left="720"/>
      <w:contextualSpacing/>
    </w:pPr>
  </w:style>
  <w:style w:type="character" w:customStyle="1" w:styleId="ZkladntextChar">
    <w:name w:val="Základní text Char"/>
    <w:basedOn w:val="Standardnpsmoodstavce"/>
    <w:link w:val="Tlotextu"/>
    <w:uiPriority w:val="99"/>
    <w:locked/>
    <w:rsid w:val="00AF29CD"/>
    <w:rPr>
      <w:sz w:val="24"/>
      <w:szCs w:val="24"/>
      <w:lang w:eastAsia="zh-CN"/>
    </w:rPr>
  </w:style>
  <w:style w:type="paragraph" w:customStyle="1" w:styleId="Tlotextu">
    <w:name w:val="Tělo textu"/>
    <w:basedOn w:val="Normln"/>
    <w:link w:val="ZkladntextChar"/>
    <w:uiPriority w:val="99"/>
    <w:unhideWhenUsed/>
    <w:rsid w:val="00AF29CD"/>
    <w:pPr>
      <w:widowControl w:val="0"/>
      <w:suppressAutoHyphens/>
      <w:spacing w:before="113" w:line="288" w:lineRule="auto"/>
      <w:jc w:val="both"/>
    </w:pPr>
    <w:rPr>
      <w:rFonts w:asciiTheme="minorHAnsi" w:eastAsiaTheme="minorHAnsi" w:hAnsiTheme="minorHAnsi" w:cstheme="minorBidi"/>
      <w:lang w:eastAsia="zh-CN"/>
    </w:rPr>
  </w:style>
  <w:style w:type="character" w:customStyle="1" w:styleId="Znakypropoznmkupodarou">
    <w:name w:val="Znaky pro poznámku pod čarou"/>
    <w:uiPriority w:val="99"/>
    <w:rsid w:val="00AF29CD"/>
  </w:style>
  <w:style w:type="character" w:customStyle="1" w:styleId="Ukotvenpoznmkypodarou">
    <w:name w:val="Ukotvení poznámky pod čarou"/>
    <w:rsid w:val="00AF29CD"/>
    <w:rPr>
      <w:vertAlign w:val="superscript"/>
    </w:rPr>
  </w:style>
  <w:style w:type="paragraph" w:customStyle="1" w:styleId="Poznmkapodarou">
    <w:name w:val="Poznámka pod čarou"/>
    <w:basedOn w:val="Normln"/>
    <w:rsid w:val="00AF29CD"/>
    <w:pPr>
      <w:widowControl w:val="0"/>
      <w:suppressAutoHyphens/>
      <w:spacing w:line="276" w:lineRule="auto"/>
      <w:jc w:val="both"/>
    </w:pPr>
    <w:rPr>
      <w:rFonts w:eastAsia="Calibri"/>
      <w:color w:val="00000A"/>
      <w:lang w:eastAsia="zh-CN"/>
    </w:rPr>
  </w:style>
  <w:style w:type="paragraph" w:customStyle="1" w:styleId="Default">
    <w:name w:val="Default"/>
    <w:rsid w:val="00904141"/>
    <w:pPr>
      <w:autoSpaceDE w:val="0"/>
      <w:autoSpaceDN w:val="0"/>
      <w:adjustRightInd w:val="0"/>
      <w:spacing w:after="0" w:line="240" w:lineRule="auto"/>
    </w:pPr>
    <w:rPr>
      <w:rFonts w:ascii="Verdana" w:hAnsi="Verdana" w:cs="Verdana"/>
      <w:color w:val="000000"/>
      <w:sz w:val="24"/>
      <w:szCs w:val="24"/>
    </w:rPr>
  </w:style>
  <w:style w:type="paragraph" w:styleId="Prosttext">
    <w:name w:val="Plain Text"/>
    <w:aliases w:val="Char Char"/>
    <w:basedOn w:val="Normln"/>
    <w:link w:val="ProsttextChar"/>
    <w:uiPriority w:val="99"/>
    <w:rsid w:val="00E636D4"/>
    <w:pPr>
      <w:spacing w:after="60" w:line="288" w:lineRule="auto"/>
      <w:jc w:val="both"/>
    </w:pPr>
    <w:rPr>
      <w:rFonts w:ascii="Courier New" w:hAnsi="Courier New" w:cs="Courier New"/>
      <w:sz w:val="20"/>
      <w:szCs w:val="20"/>
    </w:rPr>
  </w:style>
  <w:style w:type="character" w:customStyle="1" w:styleId="ProsttextChar">
    <w:name w:val="Prostý text Char"/>
    <w:aliases w:val="Char Char Char"/>
    <w:basedOn w:val="Standardnpsmoodstavce"/>
    <w:link w:val="Prosttext"/>
    <w:uiPriority w:val="99"/>
    <w:rsid w:val="00E636D4"/>
    <w:rPr>
      <w:rFonts w:ascii="Courier New" w:eastAsia="Times New Roman" w:hAnsi="Courier New" w:cs="Courier New"/>
      <w:sz w:val="20"/>
      <w:szCs w:val="20"/>
      <w:lang w:eastAsia="cs-CZ"/>
    </w:rPr>
  </w:style>
  <w:style w:type="character" w:customStyle="1" w:styleId="A2">
    <w:name w:val="A2"/>
    <w:uiPriority w:val="99"/>
    <w:rsid w:val="00E636D4"/>
    <w:rPr>
      <w:color w:val="000000"/>
    </w:rPr>
  </w:style>
  <w:style w:type="paragraph" w:customStyle="1" w:styleId="Pa2">
    <w:name w:val="Pa2"/>
    <w:basedOn w:val="Default"/>
    <w:next w:val="Default"/>
    <w:uiPriority w:val="99"/>
    <w:rsid w:val="00E636D4"/>
    <w:pPr>
      <w:spacing w:line="241" w:lineRule="atLeast"/>
    </w:pPr>
    <w:rPr>
      <w:rFonts w:ascii="Futura CE" w:eastAsia="Calibri" w:hAnsi="Futura CE" w:cs="Times New Roman"/>
      <w:color w:val="auto"/>
      <w:lang w:eastAsia="cs-CZ"/>
    </w:rPr>
  </w:style>
  <w:style w:type="paragraph" w:customStyle="1" w:styleId="Pa3">
    <w:name w:val="Pa3"/>
    <w:basedOn w:val="Normln"/>
    <w:next w:val="Normln"/>
    <w:uiPriority w:val="99"/>
    <w:rsid w:val="00E636D4"/>
    <w:pPr>
      <w:autoSpaceDE w:val="0"/>
      <w:autoSpaceDN w:val="0"/>
      <w:adjustRightInd w:val="0"/>
      <w:spacing w:line="241" w:lineRule="atLeast"/>
    </w:pPr>
    <w:rPr>
      <w:rFonts w:ascii="Futura CE" w:eastAsiaTheme="minorHAnsi" w:hAnsi="Futura CE" w:cstheme="minorBidi"/>
      <w:lang w:eastAsia="en-US"/>
    </w:rPr>
  </w:style>
  <w:style w:type="character" w:customStyle="1" w:styleId="Nadpis1Char">
    <w:name w:val="Nadpis 1 Char"/>
    <w:basedOn w:val="Standardnpsmoodstavce"/>
    <w:link w:val="Nadpis1"/>
    <w:uiPriority w:val="99"/>
    <w:rsid w:val="001160B1"/>
    <w:rPr>
      <w:rFonts w:ascii="Arial" w:eastAsia="SimSun" w:hAnsi="Arial" w:cs="Arial"/>
      <w:b/>
      <w:bCs/>
      <w:kern w:val="32"/>
      <w:sz w:val="32"/>
      <w:szCs w:val="32"/>
      <w:lang w:eastAsia="zh-CN"/>
    </w:rPr>
  </w:style>
  <w:style w:type="character" w:customStyle="1" w:styleId="Nadpis2Char">
    <w:name w:val="Nadpis 2 Char"/>
    <w:basedOn w:val="Standardnpsmoodstavce"/>
    <w:link w:val="Nadpis2"/>
    <w:uiPriority w:val="99"/>
    <w:rsid w:val="001160B1"/>
    <w:rPr>
      <w:rFonts w:ascii="Arial" w:eastAsia="SimSun" w:hAnsi="Arial" w:cs="Arial"/>
      <w:b/>
      <w:bCs/>
      <w:i/>
      <w:iCs/>
      <w:sz w:val="28"/>
      <w:szCs w:val="28"/>
      <w:lang w:eastAsia="zh-CN"/>
    </w:rPr>
  </w:style>
  <w:style w:type="paragraph" w:styleId="Textkomente">
    <w:name w:val="annotation text"/>
    <w:basedOn w:val="Normln"/>
    <w:link w:val="TextkomenteChar"/>
    <w:uiPriority w:val="99"/>
    <w:semiHidden/>
    <w:rsid w:val="001160B1"/>
    <w:pPr>
      <w:spacing w:after="60" w:line="288" w:lineRule="auto"/>
      <w:jc w:val="both"/>
    </w:pPr>
    <w:rPr>
      <w:sz w:val="20"/>
      <w:szCs w:val="20"/>
    </w:rPr>
  </w:style>
  <w:style w:type="character" w:customStyle="1" w:styleId="TextkomenteChar">
    <w:name w:val="Text komentáře Char"/>
    <w:basedOn w:val="Standardnpsmoodstavce"/>
    <w:link w:val="Textkomente"/>
    <w:uiPriority w:val="99"/>
    <w:semiHidden/>
    <w:rsid w:val="001160B1"/>
    <w:rPr>
      <w:rFonts w:ascii="Times New Roman" w:eastAsia="Times New Roman" w:hAnsi="Times New Roman" w:cs="Times New Roman"/>
      <w:sz w:val="20"/>
      <w:szCs w:val="20"/>
      <w:lang w:eastAsia="cs-CZ"/>
    </w:rPr>
  </w:style>
  <w:style w:type="character" w:customStyle="1" w:styleId="locality">
    <w:name w:val="locality"/>
    <w:rsid w:val="008F262B"/>
  </w:style>
  <w:style w:type="character" w:customStyle="1" w:styleId="material-noaccess-link">
    <w:name w:val="material-noaccess-link"/>
    <w:basedOn w:val="Standardnpsmoodstavce"/>
    <w:rsid w:val="0028411C"/>
  </w:style>
  <w:style w:type="paragraph" w:customStyle="1" w:styleId="Styl1-Nzevmaterilu">
    <w:name w:val="Styl1 - Název materiálu"/>
    <w:basedOn w:val="Normln"/>
    <w:link w:val="Styl1-NzevmateriluChar"/>
    <w:qFormat/>
    <w:rsid w:val="00D432F2"/>
    <w:pPr>
      <w:overflowPunct w:val="0"/>
      <w:autoSpaceDE w:val="0"/>
      <w:autoSpaceDN w:val="0"/>
      <w:adjustRightInd w:val="0"/>
      <w:jc w:val="center"/>
      <w:textAlignment w:val="baseline"/>
    </w:pPr>
    <w:rPr>
      <w:rFonts w:ascii="Arial" w:hAnsi="Arial" w:cs="Arial"/>
      <w:b/>
      <w:noProof/>
      <w:sz w:val="22"/>
    </w:rPr>
  </w:style>
  <w:style w:type="character" w:customStyle="1" w:styleId="Styl1-NzevmateriluChar">
    <w:name w:val="Styl1 - Název materiálu Char"/>
    <w:link w:val="Styl1-Nzevmaterilu"/>
    <w:rsid w:val="00D432F2"/>
    <w:rPr>
      <w:rFonts w:ascii="Arial" w:eastAsia="Times New Roman" w:hAnsi="Arial" w:cs="Arial"/>
      <w:b/>
      <w:noProof/>
      <w:szCs w:val="24"/>
      <w:lang w:eastAsia="cs-CZ"/>
    </w:rPr>
  </w:style>
  <w:style w:type="paragraph" w:customStyle="1" w:styleId="Char4CharCharCharCharCharCharCharCharCharCharCharCharCharCharCharCharCharCharCharCharCharCharCharCharCharCharCharChar">
    <w:name w:val="Char4 Char Char Char Char Char Char Char Char Char Char Char Char Char Char Char Char Char Char Char Char Char Char Char Char Char Char Char Char"/>
    <w:basedOn w:val="Normln"/>
    <w:rsid w:val="00C52863"/>
    <w:pPr>
      <w:spacing w:after="160" w:line="240" w:lineRule="exact"/>
    </w:pPr>
    <w:rPr>
      <w:rFonts w:ascii="Times New Roman Bold" w:hAnsi="Times New Roman Bold"/>
      <w:sz w:val="22"/>
      <w:szCs w:val="26"/>
      <w:lang w:val="sk-SK" w:eastAsia="en-US"/>
    </w:rPr>
  </w:style>
  <w:style w:type="character" w:styleId="Hypertextovodkaz">
    <w:name w:val="Hyperlink"/>
    <w:basedOn w:val="Standardnpsmoodstavce"/>
    <w:uiPriority w:val="99"/>
    <w:unhideWhenUsed/>
    <w:rsid w:val="0056079B"/>
    <w:rPr>
      <w:color w:val="153B88"/>
      <w:u w:val="single"/>
    </w:rPr>
  </w:style>
  <w:style w:type="paragraph" w:customStyle="1" w:styleId="Char4CharCharCharCharCharCharCharCharCharCharCharCharCharCharCharCharCharCharCharCharCharCharCharCharCharCharCharChar0">
    <w:name w:val="Char4 Char Char Char Char Char Char Char Char Char Char Char Char Char Char Char Char Char Char Char Char Char Char Char Char Char Char Char Char"/>
    <w:basedOn w:val="Normln"/>
    <w:rsid w:val="004D1459"/>
    <w:pPr>
      <w:spacing w:after="160" w:line="240" w:lineRule="exact"/>
    </w:pPr>
    <w:rPr>
      <w:rFonts w:ascii="Times New Roman Bold" w:hAnsi="Times New Roman Bold"/>
      <w:sz w:val="22"/>
      <w:szCs w:val="26"/>
      <w:lang w:val="sk-SK" w:eastAsia="en-US"/>
    </w:rPr>
  </w:style>
  <w:style w:type="paragraph" w:customStyle="1" w:styleId="Char4CharCharCharCharCharCharCharCharCharCharCharCharCharCharCharCharCharCharCharCharCharCharCharCharCharCharCharChar1">
    <w:name w:val="Char4 Char Char Char Char Char Char Char Char Char Char Char Char Char Char Char Char Char Char Char Char Char Char Char Char Char Char Char Char"/>
    <w:basedOn w:val="Normln"/>
    <w:rsid w:val="00D46BDF"/>
    <w:pPr>
      <w:spacing w:after="160" w:line="240" w:lineRule="exact"/>
    </w:pPr>
    <w:rPr>
      <w:rFonts w:ascii="Times New Roman Bold" w:hAnsi="Times New Roman Bold"/>
      <w:sz w:val="22"/>
      <w:szCs w:val="26"/>
      <w:lang w:val="sk-SK" w:eastAsia="en-US"/>
    </w:rPr>
  </w:style>
  <w:style w:type="paragraph" w:customStyle="1" w:styleId="Char4CharCharCharCharCharCharCharCharCharCharCharCharCharCharCharCharCharCharCharCharCharCharCharCharCharCharCharChar2">
    <w:name w:val="Char4 Char Char Char Char Char Char Char Char Char Char Char Char Char Char Char Char Char Char Char Char Char Char Char Char Char Char Char Char"/>
    <w:basedOn w:val="Normln"/>
    <w:rsid w:val="004F281D"/>
    <w:pPr>
      <w:spacing w:after="160" w:line="240" w:lineRule="exact"/>
    </w:pPr>
    <w:rPr>
      <w:rFonts w:ascii="Times New Roman Bold" w:hAnsi="Times New Roman Bold"/>
      <w:sz w:val="22"/>
      <w:szCs w:val="26"/>
      <w:lang w:val="sk-SK" w:eastAsia="en-US"/>
    </w:rPr>
  </w:style>
  <w:style w:type="character" w:styleId="Siln">
    <w:name w:val="Strong"/>
    <w:basedOn w:val="Standardnpsmoodstavce"/>
    <w:uiPriority w:val="22"/>
    <w:qFormat/>
    <w:rsid w:val="007F3BC2"/>
    <w:rPr>
      <w:b/>
      <w:bCs/>
    </w:rPr>
  </w:style>
  <w:style w:type="paragraph" w:styleId="Textpoznpodarou">
    <w:name w:val="footnote text"/>
    <w:basedOn w:val="Normln"/>
    <w:link w:val="TextpoznpodarouChar"/>
    <w:uiPriority w:val="99"/>
    <w:semiHidden/>
    <w:unhideWhenUsed/>
    <w:rsid w:val="006E5921"/>
    <w:rPr>
      <w:sz w:val="20"/>
      <w:szCs w:val="20"/>
    </w:rPr>
  </w:style>
  <w:style w:type="character" w:customStyle="1" w:styleId="TextpoznpodarouChar">
    <w:name w:val="Text pozn. pod čarou Char"/>
    <w:basedOn w:val="Standardnpsmoodstavce"/>
    <w:link w:val="Textpoznpodarou"/>
    <w:uiPriority w:val="99"/>
    <w:semiHidden/>
    <w:rsid w:val="006E5921"/>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6E5921"/>
    <w:rPr>
      <w:vertAlign w:val="superscript"/>
    </w:rPr>
  </w:style>
  <w:style w:type="paragraph" w:customStyle="1" w:styleId="tvar">
    <w:name w:val="Útvar"/>
    <w:basedOn w:val="Normln"/>
    <w:link w:val="tvarChar"/>
    <w:uiPriority w:val="9"/>
    <w:qFormat/>
    <w:rsid w:val="00493CD2"/>
    <w:pPr>
      <w:spacing w:line="276" w:lineRule="auto"/>
      <w:jc w:val="both"/>
    </w:pPr>
    <w:rPr>
      <w:rFonts w:ascii="Arial" w:eastAsia="Arial" w:hAnsi="Arial" w:cs="Arial"/>
      <w:b/>
      <w:color w:val="161A48"/>
      <w:sz w:val="28"/>
    </w:rPr>
  </w:style>
  <w:style w:type="character" w:customStyle="1" w:styleId="tvarChar">
    <w:name w:val="Útvar Char"/>
    <w:basedOn w:val="ZhlavChar"/>
    <w:link w:val="tvar"/>
    <w:uiPriority w:val="9"/>
    <w:rsid w:val="00493CD2"/>
    <w:rPr>
      <w:rFonts w:ascii="Arial" w:eastAsia="Arial" w:hAnsi="Arial" w:cs="Arial"/>
      <w:b/>
      <w:color w:val="161A48"/>
      <w:sz w:val="28"/>
      <w:szCs w:val="24"/>
      <w:lang w:eastAsia="cs-CZ"/>
    </w:rPr>
  </w:style>
  <w:style w:type="paragraph" w:styleId="Nadpisobsahu">
    <w:name w:val="TOC Heading"/>
    <w:basedOn w:val="Nadpis1"/>
    <w:next w:val="Normln"/>
    <w:uiPriority w:val="39"/>
    <w:unhideWhenUsed/>
    <w:qFormat/>
    <w:rsid w:val="00493CD2"/>
    <w:pPr>
      <w:keepLines/>
      <w:spacing w:after="0" w:line="259" w:lineRule="auto"/>
      <w:outlineLvl w:val="9"/>
    </w:pPr>
    <w:rPr>
      <w:rFonts w:eastAsiaTheme="majorEastAsia" w:cstheme="majorBidi"/>
      <w:bCs w:val="0"/>
      <w:kern w:val="0"/>
      <w:sz w:val="28"/>
      <w:lang w:eastAsia="cs-CZ"/>
    </w:rPr>
  </w:style>
  <w:style w:type="paragraph" w:customStyle="1" w:styleId="paragraph">
    <w:name w:val="paragraph"/>
    <w:basedOn w:val="Normln"/>
    <w:rsid w:val="00FE050F"/>
    <w:pPr>
      <w:spacing w:before="100" w:beforeAutospacing="1" w:after="100" w:afterAutospacing="1"/>
    </w:pPr>
  </w:style>
  <w:style w:type="character" w:customStyle="1" w:styleId="normaltextrun">
    <w:name w:val="normaltextrun"/>
    <w:basedOn w:val="Standardnpsmoodstavce"/>
    <w:rsid w:val="00FE050F"/>
  </w:style>
  <w:style w:type="character" w:customStyle="1" w:styleId="eop">
    <w:name w:val="eop"/>
    <w:basedOn w:val="Standardnpsmoodstavce"/>
    <w:qFormat/>
    <w:rsid w:val="00FE050F"/>
  </w:style>
  <w:style w:type="character" w:styleId="Nevyeenzmnka">
    <w:name w:val="Unresolved Mention"/>
    <w:basedOn w:val="Standardnpsmoodstavce"/>
    <w:uiPriority w:val="99"/>
    <w:semiHidden/>
    <w:unhideWhenUsed/>
    <w:rsid w:val="005A623D"/>
    <w:rPr>
      <w:color w:val="605E5C"/>
      <w:shd w:val="clear" w:color="auto" w:fill="E1DFDD"/>
    </w:rPr>
  </w:style>
  <w:style w:type="character" w:customStyle="1" w:styleId="spellingerror">
    <w:name w:val="spellingerror"/>
    <w:basedOn w:val="Standardnpsmoodstavce"/>
    <w:rsid w:val="00B571C0"/>
  </w:style>
  <w:style w:type="character" w:customStyle="1" w:styleId="contextualspellingandgrammarerror">
    <w:name w:val="contextualspellingandgrammarerror"/>
    <w:basedOn w:val="Standardnpsmoodstavce"/>
    <w:rsid w:val="00B571C0"/>
  </w:style>
  <w:style w:type="character" w:customStyle="1" w:styleId="Nadpis3Char">
    <w:name w:val="Nadpis 3 Char"/>
    <w:basedOn w:val="Standardnpsmoodstavce"/>
    <w:link w:val="Nadpis3"/>
    <w:uiPriority w:val="9"/>
    <w:semiHidden/>
    <w:rsid w:val="00D616A3"/>
    <w:rPr>
      <w:rFonts w:asciiTheme="majorHAnsi" w:eastAsiaTheme="majorEastAsia" w:hAnsiTheme="majorHAnsi" w:cstheme="majorBidi"/>
      <w:color w:val="243F60" w:themeColor="accent1" w:themeShade="7F"/>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9227">
      <w:bodyDiv w:val="1"/>
      <w:marLeft w:val="0"/>
      <w:marRight w:val="0"/>
      <w:marTop w:val="0"/>
      <w:marBottom w:val="0"/>
      <w:divBdr>
        <w:top w:val="none" w:sz="0" w:space="0" w:color="auto"/>
        <w:left w:val="none" w:sz="0" w:space="0" w:color="auto"/>
        <w:bottom w:val="none" w:sz="0" w:space="0" w:color="auto"/>
        <w:right w:val="none" w:sz="0" w:space="0" w:color="auto"/>
      </w:divBdr>
      <w:divsChild>
        <w:div w:id="588544866">
          <w:marLeft w:val="0"/>
          <w:marRight w:val="0"/>
          <w:marTop w:val="0"/>
          <w:marBottom w:val="0"/>
          <w:divBdr>
            <w:top w:val="none" w:sz="0" w:space="0" w:color="auto"/>
            <w:left w:val="none" w:sz="0" w:space="0" w:color="auto"/>
            <w:bottom w:val="none" w:sz="0" w:space="0" w:color="auto"/>
            <w:right w:val="none" w:sz="0" w:space="0" w:color="auto"/>
          </w:divBdr>
        </w:div>
      </w:divsChild>
    </w:div>
    <w:div w:id="135032727">
      <w:bodyDiv w:val="1"/>
      <w:marLeft w:val="0"/>
      <w:marRight w:val="0"/>
      <w:marTop w:val="0"/>
      <w:marBottom w:val="0"/>
      <w:divBdr>
        <w:top w:val="none" w:sz="0" w:space="0" w:color="auto"/>
        <w:left w:val="none" w:sz="0" w:space="0" w:color="auto"/>
        <w:bottom w:val="none" w:sz="0" w:space="0" w:color="auto"/>
        <w:right w:val="none" w:sz="0" w:space="0" w:color="auto"/>
      </w:divBdr>
    </w:div>
    <w:div w:id="179704902">
      <w:bodyDiv w:val="1"/>
      <w:marLeft w:val="0"/>
      <w:marRight w:val="0"/>
      <w:marTop w:val="0"/>
      <w:marBottom w:val="0"/>
      <w:divBdr>
        <w:top w:val="none" w:sz="0" w:space="0" w:color="auto"/>
        <w:left w:val="none" w:sz="0" w:space="0" w:color="auto"/>
        <w:bottom w:val="none" w:sz="0" w:space="0" w:color="auto"/>
        <w:right w:val="none" w:sz="0" w:space="0" w:color="auto"/>
      </w:divBdr>
    </w:div>
    <w:div w:id="258029758">
      <w:bodyDiv w:val="1"/>
      <w:marLeft w:val="0"/>
      <w:marRight w:val="0"/>
      <w:marTop w:val="0"/>
      <w:marBottom w:val="0"/>
      <w:divBdr>
        <w:top w:val="none" w:sz="0" w:space="0" w:color="auto"/>
        <w:left w:val="none" w:sz="0" w:space="0" w:color="auto"/>
        <w:bottom w:val="none" w:sz="0" w:space="0" w:color="auto"/>
        <w:right w:val="none" w:sz="0" w:space="0" w:color="auto"/>
      </w:divBdr>
    </w:div>
    <w:div w:id="314840641">
      <w:bodyDiv w:val="1"/>
      <w:marLeft w:val="0"/>
      <w:marRight w:val="0"/>
      <w:marTop w:val="0"/>
      <w:marBottom w:val="0"/>
      <w:divBdr>
        <w:top w:val="none" w:sz="0" w:space="0" w:color="auto"/>
        <w:left w:val="none" w:sz="0" w:space="0" w:color="auto"/>
        <w:bottom w:val="none" w:sz="0" w:space="0" w:color="auto"/>
        <w:right w:val="none" w:sz="0" w:space="0" w:color="auto"/>
      </w:divBdr>
    </w:div>
    <w:div w:id="326792408">
      <w:bodyDiv w:val="1"/>
      <w:marLeft w:val="0"/>
      <w:marRight w:val="0"/>
      <w:marTop w:val="0"/>
      <w:marBottom w:val="0"/>
      <w:divBdr>
        <w:top w:val="none" w:sz="0" w:space="0" w:color="auto"/>
        <w:left w:val="none" w:sz="0" w:space="0" w:color="auto"/>
        <w:bottom w:val="none" w:sz="0" w:space="0" w:color="auto"/>
        <w:right w:val="none" w:sz="0" w:space="0" w:color="auto"/>
      </w:divBdr>
    </w:div>
    <w:div w:id="1030957679">
      <w:bodyDiv w:val="1"/>
      <w:marLeft w:val="0"/>
      <w:marRight w:val="0"/>
      <w:marTop w:val="0"/>
      <w:marBottom w:val="0"/>
      <w:divBdr>
        <w:top w:val="none" w:sz="0" w:space="0" w:color="auto"/>
        <w:left w:val="none" w:sz="0" w:space="0" w:color="auto"/>
        <w:bottom w:val="none" w:sz="0" w:space="0" w:color="auto"/>
        <w:right w:val="none" w:sz="0" w:space="0" w:color="auto"/>
      </w:divBdr>
    </w:div>
    <w:div w:id="1053966255">
      <w:bodyDiv w:val="1"/>
      <w:marLeft w:val="0"/>
      <w:marRight w:val="0"/>
      <w:marTop w:val="0"/>
      <w:marBottom w:val="0"/>
      <w:divBdr>
        <w:top w:val="none" w:sz="0" w:space="0" w:color="auto"/>
        <w:left w:val="none" w:sz="0" w:space="0" w:color="auto"/>
        <w:bottom w:val="none" w:sz="0" w:space="0" w:color="auto"/>
        <w:right w:val="none" w:sz="0" w:space="0" w:color="auto"/>
      </w:divBdr>
    </w:div>
    <w:div w:id="1082994235">
      <w:bodyDiv w:val="1"/>
      <w:marLeft w:val="0"/>
      <w:marRight w:val="0"/>
      <w:marTop w:val="0"/>
      <w:marBottom w:val="0"/>
      <w:divBdr>
        <w:top w:val="none" w:sz="0" w:space="0" w:color="auto"/>
        <w:left w:val="none" w:sz="0" w:space="0" w:color="auto"/>
        <w:bottom w:val="none" w:sz="0" w:space="0" w:color="auto"/>
        <w:right w:val="none" w:sz="0" w:space="0" w:color="auto"/>
      </w:divBdr>
      <w:divsChild>
        <w:div w:id="1547840547">
          <w:marLeft w:val="0"/>
          <w:marRight w:val="0"/>
          <w:marTop w:val="0"/>
          <w:marBottom w:val="0"/>
          <w:divBdr>
            <w:top w:val="none" w:sz="0" w:space="0" w:color="auto"/>
            <w:left w:val="none" w:sz="0" w:space="0" w:color="auto"/>
            <w:bottom w:val="none" w:sz="0" w:space="0" w:color="auto"/>
            <w:right w:val="none" w:sz="0" w:space="0" w:color="auto"/>
          </w:divBdr>
          <w:divsChild>
            <w:div w:id="1134563461">
              <w:marLeft w:val="0"/>
              <w:marRight w:val="0"/>
              <w:marTop w:val="0"/>
              <w:marBottom w:val="0"/>
              <w:divBdr>
                <w:top w:val="none" w:sz="0" w:space="0" w:color="auto"/>
                <w:left w:val="none" w:sz="0" w:space="0" w:color="auto"/>
                <w:bottom w:val="none" w:sz="0" w:space="0" w:color="auto"/>
                <w:right w:val="none" w:sz="0" w:space="0" w:color="auto"/>
              </w:divBdr>
              <w:divsChild>
                <w:div w:id="1035496017">
                  <w:marLeft w:val="0"/>
                  <w:marRight w:val="0"/>
                  <w:marTop w:val="0"/>
                  <w:marBottom w:val="0"/>
                  <w:divBdr>
                    <w:top w:val="none" w:sz="0" w:space="0" w:color="auto"/>
                    <w:left w:val="none" w:sz="0" w:space="0" w:color="auto"/>
                    <w:bottom w:val="none" w:sz="0" w:space="0" w:color="auto"/>
                    <w:right w:val="none" w:sz="0" w:space="0" w:color="auto"/>
                  </w:divBdr>
                  <w:divsChild>
                    <w:div w:id="1592009141">
                      <w:marLeft w:val="0"/>
                      <w:marRight w:val="0"/>
                      <w:marTop w:val="0"/>
                      <w:marBottom w:val="0"/>
                      <w:divBdr>
                        <w:top w:val="none" w:sz="0" w:space="0" w:color="auto"/>
                        <w:left w:val="none" w:sz="0" w:space="0" w:color="auto"/>
                        <w:bottom w:val="none" w:sz="0" w:space="0" w:color="auto"/>
                        <w:right w:val="none" w:sz="0" w:space="0" w:color="auto"/>
                      </w:divBdr>
                      <w:divsChild>
                        <w:div w:id="49159813">
                          <w:marLeft w:val="0"/>
                          <w:marRight w:val="0"/>
                          <w:marTop w:val="0"/>
                          <w:marBottom w:val="0"/>
                          <w:divBdr>
                            <w:top w:val="none" w:sz="0" w:space="0" w:color="auto"/>
                            <w:left w:val="none" w:sz="0" w:space="0" w:color="auto"/>
                            <w:bottom w:val="none" w:sz="0" w:space="0" w:color="auto"/>
                            <w:right w:val="none" w:sz="0" w:space="0" w:color="auto"/>
                          </w:divBdr>
                          <w:divsChild>
                            <w:div w:id="1391152420">
                              <w:marLeft w:val="0"/>
                              <w:marRight w:val="0"/>
                              <w:marTop w:val="0"/>
                              <w:marBottom w:val="0"/>
                              <w:divBdr>
                                <w:top w:val="none" w:sz="0" w:space="0" w:color="auto"/>
                                <w:left w:val="none" w:sz="0" w:space="0" w:color="auto"/>
                                <w:bottom w:val="none" w:sz="0" w:space="0" w:color="auto"/>
                                <w:right w:val="none" w:sz="0" w:space="0" w:color="auto"/>
                              </w:divBdr>
                              <w:divsChild>
                                <w:div w:id="1768503692">
                                  <w:marLeft w:val="0"/>
                                  <w:marRight w:val="0"/>
                                  <w:marTop w:val="0"/>
                                  <w:marBottom w:val="0"/>
                                  <w:divBdr>
                                    <w:top w:val="none" w:sz="0" w:space="0" w:color="auto"/>
                                    <w:left w:val="none" w:sz="0" w:space="0" w:color="auto"/>
                                    <w:bottom w:val="none" w:sz="0" w:space="0" w:color="auto"/>
                                    <w:right w:val="none" w:sz="0" w:space="0" w:color="auto"/>
                                  </w:divBdr>
                                  <w:divsChild>
                                    <w:div w:id="1669748535">
                                      <w:marLeft w:val="0"/>
                                      <w:marRight w:val="0"/>
                                      <w:marTop w:val="0"/>
                                      <w:marBottom w:val="0"/>
                                      <w:divBdr>
                                        <w:top w:val="none" w:sz="0" w:space="0" w:color="auto"/>
                                        <w:left w:val="none" w:sz="0" w:space="0" w:color="auto"/>
                                        <w:bottom w:val="none" w:sz="0" w:space="0" w:color="auto"/>
                                        <w:right w:val="none" w:sz="0" w:space="0" w:color="auto"/>
                                      </w:divBdr>
                                      <w:divsChild>
                                        <w:div w:id="25563336">
                                          <w:marLeft w:val="0"/>
                                          <w:marRight w:val="0"/>
                                          <w:marTop w:val="0"/>
                                          <w:marBottom w:val="0"/>
                                          <w:divBdr>
                                            <w:top w:val="none" w:sz="0" w:space="0" w:color="auto"/>
                                            <w:left w:val="none" w:sz="0" w:space="0" w:color="auto"/>
                                            <w:bottom w:val="none" w:sz="0" w:space="0" w:color="auto"/>
                                            <w:right w:val="none" w:sz="0" w:space="0" w:color="auto"/>
                                          </w:divBdr>
                                          <w:divsChild>
                                            <w:div w:id="944582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3011982">
      <w:bodyDiv w:val="1"/>
      <w:marLeft w:val="0"/>
      <w:marRight w:val="0"/>
      <w:marTop w:val="0"/>
      <w:marBottom w:val="0"/>
      <w:divBdr>
        <w:top w:val="none" w:sz="0" w:space="0" w:color="auto"/>
        <w:left w:val="none" w:sz="0" w:space="0" w:color="auto"/>
        <w:bottom w:val="none" w:sz="0" w:space="0" w:color="auto"/>
        <w:right w:val="none" w:sz="0" w:space="0" w:color="auto"/>
      </w:divBdr>
      <w:divsChild>
        <w:div w:id="868300745">
          <w:marLeft w:val="0"/>
          <w:marRight w:val="0"/>
          <w:marTop w:val="0"/>
          <w:marBottom w:val="0"/>
          <w:divBdr>
            <w:top w:val="none" w:sz="0" w:space="0" w:color="auto"/>
            <w:left w:val="none" w:sz="0" w:space="0" w:color="auto"/>
            <w:bottom w:val="none" w:sz="0" w:space="0" w:color="auto"/>
            <w:right w:val="none" w:sz="0" w:space="0" w:color="auto"/>
          </w:divBdr>
          <w:divsChild>
            <w:div w:id="229780191">
              <w:marLeft w:val="0"/>
              <w:marRight w:val="0"/>
              <w:marTop w:val="0"/>
              <w:marBottom w:val="0"/>
              <w:divBdr>
                <w:top w:val="none" w:sz="0" w:space="0" w:color="auto"/>
                <w:left w:val="none" w:sz="0" w:space="0" w:color="auto"/>
                <w:bottom w:val="none" w:sz="0" w:space="0" w:color="auto"/>
                <w:right w:val="none" w:sz="0" w:space="0" w:color="auto"/>
              </w:divBdr>
              <w:divsChild>
                <w:div w:id="1101491321">
                  <w:marLeft w:val="0"/>
                  <w:marRight w:val="0"/>
                  <w:marTop w:val="0"/>
                  <w:marBottom w:val="0"/>
                  <w:divBdr>
                    <w:top w:val="none" w:sz="0" w:space="0" w:color="auto"/>
                    <w:left w:val="none" w:sz="0" w:space="0" w:color="auto"/>
                    <w:bottom w:val="none" w:sz="0" w:space="0" w:color="auto"/>
                    <w:right w:val="none" w:sz="0" w:space="0" w:color="auto"/>
                  </w:divBdr>
                  <w:divsChild>
                    <w:div w:id="746878596">
                      <w:marLeft w:val="0"/>
                      <w:marRight w:val="0"/>
                      <w:marTop w:val="0"/>
                      <w:marBottom w:val="0"/>
                      <w:divBdr>
                        <w:top w:val="none" w:sz="0" w:space="0" w:color="auto"/>
                        <w:left w:val="none" w:sz="0" w:space="0" w:color="auto"/>
                        <w:bottom w:val="none" w:sz="0" w:space="0" w:color="auto"/>
                        <w:right w:val="none" w:sz="0" w:space="0" w:color="auto"/>
                      </w:divBdr>
                      <w:divsChild>
                        <w:div w:id="856237897">
                          <w:marLeft w:val="0"/>
                          <w:marRight w:val="0"/>
                          <w:marTop w:val="0"/>
                          <w:marBottom w:val="0"/>
                          <w:divBdr>
                            <w:top w:val="none" w:sz="0" w:space="0" w:color="auto"/>
                            <w:left w:val="none" w:sz="0" w:space="0" w:color="auto"/>
                            <w:bottom w:val="none" w:sz="0" w:space="0" w:color="auto"/>
                            <w:right w:val="none" w:sz="0" w:space="0" w:color="auto"/>
                          </w:divBdr>
                          <w:divsChild>
                            <w:div w:id="253905189">
                              <w:marLeft w:val="0"/>
                              <w:marRight w:val="0"/>
                              <w:marTop w:val="0"/>
                              <w:marBottom w:val="0"/>
                              <w:divBdr>
                                <w:top w:val="none" w:sz="0" w:space="0" w:color="auto"/>
                                <w:left w:val="none" w:sz="0" w:space="0" w:color="auto"/>
                                <w:bottom w:val="none" w:sz="0" w:space="0" w:color="auto"/>
                                <w:right w:val="none" w:sz="0" w:space="0" w:color="auto"/>
                              </w:divBdr>
                              <w:divsChild>
                                <w:div w:id="1099258333">
                                  <w:marLeft w:val="0"/>
                                  <w:marRight w:val="0"/>
                                  <w:marTop w:val="0"/>
                                  <w:marBottom w:val="0"/>
                                  <w:divBdr>
                                    <w:top w:val="none" w:sz="0" w:space="0" w:color="auto"/>
                                    <w:left w:val="none" w:sz="0" w:space="0" w:color="auto"/>
                                    <w:bottom w:val="none" w:sz="0" w:space="0" w:color="auto"/>
                                    <w:right w:val="none" w:sz="0" w:space="0" w:color="auto"/>
                                  </w:divBdr>
                                  <w:divsChild>
                                    <w:div w:id="2064061233">
                                      <w:marLeft w:val="0"/>
                                      <w:marRight w:val="0"/>
                                      <w:marTop w:val="0"/>
                                      <w:marBottom w:val="0"/>
                                      <w:divBdr>
                                        <w:top w:val="none" w:sz="0" w:space="0" w:color="auto"/>
                                        <w:left w:val="none" w:sz="0" w:space="0" w:color="auto"/>
                                        <w:bottom w:val="none" w:sz="0" w:space="0" w:color="auto"/>
                                        <w:right w:val="none" w:sz="0" w:space="0" w:color="auto"/>
                                      </w:divBdr>
                                      <w:divsChild>
                                        <w:div w:id="758217356">
                                          <w:marLeft w:val="0"/>
                                          <w:marRight w:val="0"/>
                                          <w:marTop w:val="0"/>
                                          <w:marBottom w:val="0"/>
                                          <w:divBdr>
                                            <w:top w:val="none" w:sz="0" w:space="0" w:color="auto"/>
                                            <w:left w:val="none" w:sz="0" w:space="0" w:color="auto"/>
                                            <w:bottom w:val="none" w:sz="0" w:space="0" w:color="auto"/>
                                            <w:right w:val="none" w:sz="0" w:space="0" w:color="auto"/>
                                          </w:divBdr>
                                          <w:divsChild>
                                            <w:div w:id="203792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2342371">
      <w:bodyDiv w:val="1"/>
      <w:marLeft w:val="0"/>
      <w:marRight w:val="0"/>
      <w:marTop w:val="0"/>
      <w:marBottom w:val="0"/>
      <w:divBdr>
        <w:top w:val="none" w:sz="0" w:space="0" w:color="auto"/>
        <w:left w:val="none" w:sz="0" w:space="0" w:color="auto"/>
        <w:bottom w:val="none" w:sz="0" w:space="0" w:color="auto"/>
        <w:right w:val="none" w:sz="0" w:space="0" w:color="auto"/>
      </w:divBdr>
    </w:div>
    <w:div w:id="1391226061">
      <w:bodyDiv w:val="1"/>
      <w:marLeft w:val="0"/>
      <w:marRight w:val="0"/>
      <w:marTop w:val="0"/>
      <w:marBottom w:val="0"/>
      <w:divBdr>
        <w:top w:val="none" w:sz="0" w:space="0" w:color="auto"/>
        <w:left w:val="none" w:sz="0" w:space="0" w:color="auto"/>
        <w:bottom w:val="none" w:sz="0" w:space="0" w:color="auto"/>
        <w:right w:val="none" w:sz="0" w:space="0" w:color="auto"/>
      </w:divBdr>
    </w:div>
    <w:div w:id="1710378100">
      <w:bodyDiv w:val="1"/>
      <w:marLeft w:val="0"/>
      <w:marRight w:val="0"/>
      <w:marTop w:val="0"/>
      <w:marBottom w:val="0"/>
      <w:divBdr>
        <w:top w:val="none" w:sz="0" w:space="0" w:color="auto"/>
        <w:left w:val="none" w:sz="0" w:space="0" w:color="auto"/>
        <w:bottom w:val="none" w:sz="0" w:space="0" w:color="auto"/>
        <w:right w:val="none" w:sz="0" w:space="0" w:color="auto"/>
      </w:divBdr>
      <w:divsChild>
        <w:div w:id="34044779">
          <w:marLeft w:val="0"/>
          <w:marRight w:val="0"/>
          <w:marTop w:val="0"/>
          <w:marBottom w:val="0"/>
          <w:divBdr>
            <w:top w:val="none" w:sz="0" w:space="0" w:color="auto"/>
            <w:left w:val="none" w:sz="0" w:space="0" w:color="auto"/>
            <w:bottom w:val="none" w:sz="0" w:space="0" w:color="auto"/>
            <w:right w:val="none" w:sz="0" w:space="0" w:color="auto"/>
          </w:divBdr>
          <w:divsChild>
            <w:div w:id="1964336408">
              <w:marLeft w:val="0"/>
              <w:marRight w:val="0"/>
              <w:marTop w:val="0"/>
              <w:marBottom w:val="0"/>
              <w:divBdr>
                <w:top w:val="none" w:sz="0" w:space="0" w:color="auto"/>
                <w:left w:val="none" w:sz="0" w:space="0" w:color="auto"/>
                <w:bottom w:val="none" w:sz="0" w:space="0" w:color="auto"/>
                <w:right w:val="none" w:sz="0" w:space="0" w:color="auto"/>
              </w:divBdr>
              <w:divsChild>
                <w:div w:id="187065170">
                  <w:marLeft w:val="0"/>
                  <w:marRight w:val="0"/>
                  <w:marTop w:val="0"/>
                  <w:marBottom w:val="0"/>
                  <w:divBdr>
                    <w:top w:val="none" w:sz="0" w:space="0" w:color="auto"/>
                    <w:left w:val="none" w:sz="0" w:space="0" w:color="auto"/>
                    <w:bottom w:val="none" w:sz="0" w:space="0" w:color="auto"/>
                    <w:right w:val="none" w:sz="0" w:space="0" w:color="auto"/>
                  </w:divBdr>
                  <w:divsChild>
                    <w:div w:id="1746293029">
                      <w:marLeft w:val="0"/>
                      <w:marRight w:val="0"/>
                      <w:marTop w:val="0"/>
                      <w:marBottom w:val="0"/>
                      <w:divBdr>
                        <w:top w:val="none" w:sz="0" w:space="0" w:color="auto"/>
                        <w:left w:val="none" w:sz="0" w:space="0" w:color="auto"/>
                        <w:bottom w:val="none" w:sz="0" w:space="0" w:color="auto"/>
                        <w:right w:val="none" w:sz="0" w:space="0" w:color="auto"/>
                      </w:divBdr>
                      <w:divsChild>
                        <w:div w:id="876549111">
                          <w:marLeft w:val="0"/>
                          <w:marRight w:val="0"/>
                          <w:marTop w:val="0"/>
                          <w:marBottom w:val="0"/>
                          <w:divBdr>
                            <w:top w:val="none" w:sz="0" w:space="0" w:color="auto"/>
                            <w:left w:val="none" w:sz="0" w:space="0" w:color="auto"/>
                            <w:bottom w:val="none" w:sz="0" w:space="0" w:color="auto"/>
                            <w:right w:val="none" w:sz="0" w:space="0" w:color="auto"/>
                          </w:divBdr>
                          <w:divsChild>
                            <w:div w:id="1484783921">
                              <w:marLeft w:val="0"/>
                              <w:marRight w:val="0"/>
                              <w:marTop w:val="0"/>
                              <w:marBottom w:val="0"/>
                              <w:divBdr>
                                <w:top w:val="none" w:sz="0" w:space="0" w:color="auto"/>
                                <w:left w:val="none" w:sz="0" w:space="0" w:color="auto"/>
                                <w:bottom w:val="none" w:sz="0" w:space="0" w:color="auto"/>
                                <w:right w:val="none" w:sz="0" w:space="0" w:color="auto"/>
                              </w:divBdr>
                              <w:divsChild>
                                <w:div w:id="1334840677">
                                  <w:marLeft w:val="0"/>
                                  <w:marRight w:val="0"/>
                                  <w:marTop w:val="0"/>
                                  <w:marBottom w:val="0"/>
                                  <w:divBdr>
                                    <w:top w:val="none" w:sz="0" w:space="0" w:color="auto"/>
                                    <w:left w:val="none" w:sz="0" w:space="0" w:color="auto"/>
                                    <w:bottom w:val="none" w:sz="0" w:space="0" w:color="auto"/>
                                    <w:right w:val="none" w:sz="0" w:space="0" w:color="auto"/>
                                  </w:divBdr>
                                  <w:divsChild>
                                    <w:div w:id="593629050">
                                      <w:marLeft w:val="0"/>
                                      <w:marRight w:val="0"/>
                                      <w:marTop w:val="0"/>
                                      <w:marBottom w:val="0"/>
                                      <w:divBdr>
                                        <w:top w:val="none" w:sz="0" w:space="0" w:color="auto"/>
                                        <w:left w:val="none" w:sz="0" w:space="0" w:color="auto"/>
                                        <w:bottom w:val="none" w:sz="0" w:space="0" w:color="auto"/>
                                        <w:right w:val="none" w:sz="0" w:space="0" w:color="auto"/>
                                      </w:divBdr>
                                      <w:divsChild>
                                        <w:div w:id="1342270539">
                                          <w:marLeft w:val="0"/>
                                          <w:marRight w:val="0"/>
                                          <w:marTop w:val="0"/>
                                          <w:marBottom w:val="0"/>
                                          <w:divBdr>
                                            <w:top w:val="none" w:sz="0" w:space="0" w:color="auto"/>
                                            <w:left w:val="none" w:sz="0" w:space="0" w:color="auto"/>
                                            <w:bottom w:val="none" w:sz="0" w:space="0" w:color="auto"/>
                                            <w:right w:val="none" w:sz="0" w:space="0" w:color="auto"/>
                                          </w:divBdr>
                                          <w:divsChild>
                                            <w:div w:id="1590849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70941349">
      <w:bodyDiv w:val="1"/>
      <w:marLeft w:val="0"/>
      <w:marRight w:val="0"/>
      <w:marTop w:val="0"/>
      <w:marBottom w:val="0"/>
      <w:divBdr>
        <w:top w:val="none" w:sz="0" w:space="0" w:color="auto"/>
        <w:left w:val="none" w:sz="0" w:space="0" w:color="auto"/>
        <w:bottom w:val="none" w:sz="0" w:space="0" w:color="auto"/>
        <w:right w:val="none" w:sz="0" w:space="0" w:color="auto"/>
      </w:divBdr>
      <w:divsChild>
        <w:div w:id="1194925424">
          <w:marLeft w:val="0"/>
          <w:marRight w:val="0"/>
          <w:marTop w:val="0"/>
          <w:marBottom w:val="0"/>
          <w:divBdr>
            <w:top w:val="none" w:sz="0" w:space="0" w:color="auto"/>
            <w:left w:val="none" w:sz="0" w:space="0" w:color="auto"/>
            <w:bottom w:val="none" w:sz="0" w:space="0" w:color="auto"/>
            <w:right w:val="none" w:sz="0" w:space="0" w:color="auto"/>
          </w:divBdr>
          <w:divsChild>
            <w:div w:id="698900405">
              <w:marLeft w:val="0"/>
              <w:marRight w:val="0"/>
              <w:marTop w:val="0"/>
              <w:marBottom w:val="0"/>
              <w:divBdr>
                <w:top w:val="none" w:sz="0" w:space="0" w:color="auto"/>
                <w:left w:val="none" w:sz="0" w:space="0" w:color="auto"/>
                <w:bottom w:val="none" w:sz="0" w:space="0" w:color="auto"/>
                <w:right w:val="none" w:sz="0" w:space="0" w:color="auto"/>
              </w:divBdr>
              <w:divsChild>
                <w:div w:id="386076447">
                  <w:marLeft w:val="0"/>
                  <w:marRight w:val="0"/>
                  <w:marTop w:val="0"/>
                  <w:marBottom w:val="0"/>
                  <w:divBdr>
                    <w:top w:val="none" w:sz="0" w:space="0" w:color="auto"/>
                    <w:left w:val="none" w:sz="0" w:space="0" w:color="auto"/>
                    <w:bottom w:val="none" w:sz="0" w:space="0" w:color="auto"/>
                    <w:right w:val="none" w:sz="0" w:space="0" w:color="auto"/>
                  </w:divBdr>
                  <w:divsChild>
                    <w:div w:id="1410425948">
                      <w:marLeft w:val="0"/>
                      <w:marRight w:val="0"/>
                      <w:marTop w:val="0"/>
                      <w:marBottom w:val="0"/>
                      <w:divBdr>
                        <w:top w:val="none" w:sz="0" w:space="0" w:color="auto"/>
                        <w:left w:val="none" w:sz="0" w:space="0" w:color="auto"/>
                        <w:bottom w:val="none" w:sz="0" w:space="0" w:color="auto"/>
                        <w:right w:val="none" w:sz="0" w:space="0" w:color="auto"/>
                      </w:divBdr>
                      <w:divsChild>
                        <w:div w:id="680005855">
                          <w:marLeft w:val="0"/>
                          <w:marRight w:val="0"/>
                          <w:marTop w:val="0"/>
                          <w:marBottom w:val="0"/>
                          <w:divBdr>
                            <w:top w:val="none" w:sz="0" w:space="0" w:color="auto"/>
                            <w:left w:val="none" w:sz="0" w:space="0" w:color="auto"/>
                            <w:bottom w:val="none" w:sz="0" w:space="0" w:color="auto"/>
                            <w:right w:val="none" w:sz="0" w:space="0" w:color="auto"/>
                          </w:divBdr>
                          <w:divsChild>
                            <w:div w:id="1820225311">
                              <w:marLeft w:val="0"/>
                              <w:marRight w:val="0"/>
                              <w:marTop w:val="0"/>
                              <w:marBottom w:val="0"/>
                              <w:divBdr>
                                <w:top w:val="none" w:sz="0" w:space="0" w:color="auto"/>
                                <w:left w:val="none" w:sz="0" w:space="0" w:color="auto"/>
                                <w:bottom w:val="none" w:sz="0" w:space="0" w:color="auto"/>
                                <w:right w:val="none" w:sz="0" w:space="0" w:color="auto"/>
                              </w:divBdr>
                              <w:divsChild>
                                <w:div w:id="247034510">
                                  <w:marLeft w:val="0"/>
                                  <w:marRight w:val="0"/>
                                  <w:marTop w:val="0"/>
                                  <w:marBottom w:val="0"/>
                                  <w:divBdr>
                                    <w:top w:val="none" w:sz="0" w:space="0" w:color="auto"/>
                                    <w:left w:val="none" w:sz="0" w:space="0" w:color="auto"/>
                                    <w:bottom w:val="none" w:sz="0" w:space="0" w:color="auto"/>
                                    <w:right w:val="none" w:sz="0" w:space="0" w:color="auto"/>
                                  </w:divBdr>
                                  <w:divsChild>
                                    <w:div w:id="115495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CCE740-E865-4A1F-9DD8-F0E0E5E33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845</TotalTime>
  <Pages>7</Pages>
  <Words>2086</Words>
  <Characters>13481</Characters>
  <Application>Microsoft Office Word</Application>
  <DocSecurity>0</DocSecurity>
  <Lines>299</Lines>
  <Paragraphs>97</Paragraphs>
  <ScaleCrop>false</ScaleCrop>
  <HeadingPairs>
    <vt:vector size="2" baseType="variant">
      <vt:variant>
        <vt:lpstr>Název</vt:lpstr>
      </vt:variant>
      <vt:variant>
        <vt:i4>1</vt:i4>
      </vt:variant>
    </vt:vector>
  </HeadingPairs>
  <TitlesOfParts>
    <vt:vector size="1" baseType="lpstr">
      <vt:lpstr/>
    </vt:vector>
  </TitlesOfParts>
  <Company>Úřad vlády ČR</Company>
  <LinksUpToDate>false</LinksUpToDate>
  <CharactersWithSpaces>15470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Moravcová Lenka</dc:creator>
  <cp:lastModifiedBy>Stanislav Janovský</cp:lastModifiedBy>
  <cp:revision>355</cp:revision>
  <cp:lastPrinted>2020-10-29T10:28:00Z</cp:lastPrinted>
  <dcterms:created xsi:type="dcterms:W3CDTF">2022-08-17T06:35:00Z</dcterms:created>
  <dcterms:modified xsi:type="dcterms:W3CDTF">2026-01-07T08:03:00Z</dcterms:modified>
</cp:coreProperties>
</file>